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F24F37" w:rsidRPr="00C04D42" w:rsidRDefault="00FE5FD8" w:rsidP="00033107">
      <w:pPr>
        <w:pBdr>
          <w:top w:val="nil"/>
          <w:left w:val="nil"/>
          <w:bottom w:val="nil"/>
          <w:right w:val="nil"/>
          <w:between w:val="nil"/>
        </w:pBdr>
        <w:ind w:firstLine="0"/>
      </w:pPr>
      <w:r w:rsidRPr="00C04D42">
        <w:t>John Wagas</w:t>
      </w:r>
    </w:p>
    <w:p w14:paraId="00000002" w14:textId="77777777" w:rsidR="00F24F37" w:rsidRPr="00C04D42" w:rsidRDefault="00FE5FD8" w:rsidP="00033107">
      <w:pPr>
        <w:pBdr>
          <w:top w:val="nil"/>
          <w:left w:val="nil"/>
          <w:bottom w:val="nil"/>
          <w:right w:val="nil"/>
          <w:between w:val="nil"/>
        </w:pBdr>
        <w:ind w:firstLine="0"/>
      </w:pPr>
      <w:r w:rsidRPr="00C04D42">
        <w:t>Professor Mou</w:t>
      </w:r>
    </w:p>
    <w:p w14:paraId="00000003" w14:textId="0351862A" w:rsidR="00F24F37" w:rsidRPr="00C04D42" w:rsidRDefault="00FE5FD8" w:rsidP="00033107">
      <w:pPr>
        <w:pBdr>
          <w:top w:val="nil"/>
          <w:left w:val="nil"/>
          <w:bottom w:val="nil"/>
          <w:right w:val="nil"/>
          <w:between w:val="nil"/>
        </w:pBdr>
        <w:ind w:firstLine="0"/>
      </w:pPr>
      <w:r w:rsidRPr="00C04D42">
        <w:t>PHIL 104</w:t>
      </w:r>
      <w:r w:rsidR="00390227" w:rsidRPr="00C04D42">
        <w:t xml:space="preserve"> Section 03</w:t>
      </w:r>
    </w:p>
    <w:p w14:paraId="00000004" w14:textId="77777777" w:rsidR="00F24F37" w:rsidRPr="00C04D42" w:rsidRDefault="00FE5FD8" w:rsidP="00033107">
      <w:pPr>
        <w:pBdr>
          <w:top w:val="nil"/>
          <w:left w:val="nil"/>
          <w:bottom w:val="nil"/>
          <w:right w:val="nil"/>
          <w:between w:val="nil"/>
        </w:pBdr>
        <w:ind w:firstLine="0"/>
      </w:pPr>
      <w:r w:rsidRPr="00C04D42">
        <w:t>10 May 2022</w:t>
      </w:r>
    </w:p>
    <w:p w14:paraId="00000005" w14:textId="28C7EBE0" w:rsidR="00F24F37" w:rsidRPr="00C04D42" w:rsidRDefault="007E0450" w:rsidP="00033107">
      <w:pPr>
        <w:pBdr>
          <w:top w:val="nil"/>
          <w:left w:val="nil"/>
          <w:bottom w:val="nil"/>
          <w:right w:val="nil"/>
          <w:between w:val="nil"/>
        </w:pBdr>
        <w:ind w:firstLine="0"/>
        <w:jc w:val="center"/>
      </w:pPr>
      <w:r w:rsidRPr="00C04D42">
        <w:t>Truly God, Truly Man</w:t>
      </w:r>
      <w:r w:rsidR="00FE5FD8" w:rsidRPr="00C04D42">
        <w:t xml:space="preserve">: An Application of the </w:t>
      </w:r>
      <w:r w:rsidR="00FE5FD8" w:rsidRPr="00C04D42">
        <w:rPr>
          <w:i/>
        </w:rPr>
        <w:t>Yin-Yang</w:t>
      </w:r>
      <w:r w:rsidR="00FE5FD8" w:rsidRPr="00C04D42">
        <w:t xml:space="preserve"> and Hegelian Models to the Christological Theories of Chalcedon and Monophysitism</w:t>
      </w:r>
    </w:p>
    <w:p w14:paraId="00000006" w14:textId="259F2382" w:rsidR="00F24F37" w:rsidRPr="00C04D42" w:rsidRDefault="00FE5FD8" w:rsidP="00033107">
      <w:pPr>
        <w:pBdr>
          <w:top w:val="nil"/>
          <w:left w:val="nil"/>
          <w:bottom w:val="nil"/>
          <w:right w:val="nil"/>
          <w:between w:val="nil"/>
        </w:pBdr>
      </w:pPr>
      <w:r w:rsidRPr="00C04D42">
        <w:t xml:space="preserve">The </w:t>
      </w:r>
      <w:r w:rsidRPr="00C04D42">
        <w:rPr>
          <w:i/>
        </w:rPr>
        <w:t>Yin-yang</w:t>
      </w:r>
      <w:r w:rsidRPr="00C04D42">
        <w:t xml:space="preserve"> and Hegelian models are distinct approaches to understanding and examining the relationship between contraries. The </w:t>
      </w:r>
      <w:r w:rsidRPr="00C04D42">
        <w:rPr>
          <w:i/>
        </w:rPr>
        <w:t>Yin-yang</w:t>
      </w:r>
      <w:r w:rsidRPr="00C04D42">
        <w:t xml:space="preserve"> model states that everything in existence inherently possesses two forces, </w:t>
      </w:r>
      <w:r w:rsidRPr="00C04D42">
        <w:rPr>
          <w:i/>
        </w:rPr>
        <w:t>yin</w:t>
      </w:r>
      <w:r w:rsidRPr="00C04D42">
        <w:t xml:space="preserve"> and </w:t>
      </w:r>
      <w:r w:rsidRPr="00C04D42">
        <w:rPr>
          <w:i/>
        </w:rPr>
        <w:t>yang</w:t>
      </w:r>
      <w:r w:rsidRPr="00C04D42">
        <w:t xml:space="preserve">, that are in perpetual mutual opposition but are nonetheless complementary. </w:t>
      </w:r>
      <w:r w:rsidRPr="00C04D42">
        <w:rPr>
          <w:i/>
        </w:rPr>
        <w:t>Yin</w:t>
      </w:r>
      <w:r w:rsidRPr="00C04D42">
        <w:t xml:space="preserve"> and </w:t>
      </w:r>
      <w:r w:rsidRPr="00C04D42">
        <w:rPr>
          <w:i/>
        </w:rPr>
        <w:t>yang</w:t>
      </w:r>
      <w:r w:rsidRPr="00C04D42">
        <w:t xml:space="preserve"> are not two entirely isolated forces; they each integrate the opposing force into themselves, balancing distinction and interdependence. Furthermore, the relationship between </w:t>
      </w:r>
      <w:r w:rsidRPr="00C04D42">
        <w:rPr>
          <w:i/>
        </w:rPr>
        <w:t>yin</w:t>
      </w:r>
      <w:r w:rsidRPr="00C04D42">
        <w:t xml:space="preserve"> and </w:t>
      </w:r>
      <w:r w:rsidRPr="00C04D42">
        <w:rPr>
          <w:i/>
        </w:rPr>
        <w:t>yang</w:t>
      </w:r>
      <w:r w:rsidRPr="00C04D42">
        <w:t xml:space="preserve"> is not combative; rather, they engage with one another cooperatively, striving for harmony yet not attempting to form one homogeneous force.</w:t>
      </w:r>
      <w:r w:rsidR="002014E4" w:rsidRPr="00C04D42">
        <w:t xml:space="preserve"> On this last point, Confucius uses the term “complementary” to describe how these two forces support eachother alongside their mutual striving for harmony</w:t>
      </w:r>
      <w:r w:rsidR="00A94081" w:rsidRPr="00C04D42">
        <w:t>, being engaged in a relationship in which both oppositional forces are able to coexist while simultaneously enhan</w:t>
      </w:r>
      <w:r w:rsidR="005E63F7" w:rsidRPr="00C04D42">
        <w:t>c</w:t>
      </w:r>
      <w:r w:rsidR="00A94081" w:rsidRPr="00C04D42">
        <w:t xml:space="preserve">ing </w:t>
      </w:r>
      <w:r w:rsidR="005E63F7" w:rsidRPr="00C04D42">
        <w:t>eachother</w:t>
      </w:r>
      <w:r w:rsidR="002014E4" w:rsidRPr="00C04D42">
        <w:t>.</w:t>
      </w:r>
      <w:r w:rsidRPr="00C04D42">
        <w:t xml:space="preserve"> The Hegelian model, in contrast, proposes that contraries are engaged in a </w:t>
      </w:r>
      <w:r w:rsidRPr="00C04D42">
        <w:rPr>
          <w:i/>
        </w:rPr>
        <w:t>dialectical struggle</w:t>
      </w:r>
      <w:r w:rsidRPr="00C04D42">
        <w:t xml:space="preserve">—a process consisting of three movements. In the first movement, </w:t>
      </w:r>
      <w:r w:rsidRPr="00C04D42">
        <w:rPr>
          <w:i/>
        </w:rPr>
        <w:t>thesis</w:t>
      </w:r>
      <w:r w:rsidRPr="00C04D42">
        <w:t xml:space="preserve">, the involved points are recognized as being contradictory, with the second movement, </w:t>
      </w:r>
      <w:r w:rsidRPr="00C04D42">
        <w:rPr>
          <w:i/>
        </w:rPr>
        <w:t xml:space="preserve">antithesis, </w:t>
      </w:r>
      <w:r w:rsidRPr="00C04D42">
        <w:t xml:space="preserve">nullifying the premises in the </w:t>
      </w:r>
      <w:r w:rsidRPr="00C04D42">
        <w:rPr>
          <w:i/>
        </w:rPr>
        <w:t>thesis</w:t>
      </w:r>
      <w:r w:rsidRPr="00C04D42">
        <w:t xml:space="preserve">. In the final movement in this three-part struggle, </w:t>
      </w:r>
      <w:r w:rsidRPr="00C04D42">
        <w:rPr>
          <w:i/>
        </w:rPr>
        <w:t>synthesis</w:t>
      </w:r>
      <w:r w:rsidRPr="00C04D42">
        <w:t xml:space="preserve">, involves </w:t>
      </w:r>
      <w:r w:rsidRPr="00C04D42">
        <w:rPr>
          <w:i/>
        </w:rPr>
        <w:t>su</w:t>
      </w:r>
      <w:r w:rsidR="00390227" w:rsidRPr="00C04D42">
        <w:rPr>
          <w:i/>
        </w:rPr>
        <w:t>b</w:t>
      </w:r>
      <w:r w:rsidRPr="00C04D42">
        <w:rPr>
          <w:i/>
        </w:rPr>
        <w:t>lation</w:t>
      </w:r>
      <w:r w:rsidRPr="00C04D42">
        <w:t xml:space="preserve">, in which aspects of each contradictory element are retained or dismissed in order to form a new unified element that in itself incorporates aspects of the original points. While they address the common subject of contraries, the </w:t>
      </w:r>
      <w:r w:rsidRPr="00C04D42">
        <w:rPr>
          <w:i/>
        </w:rPr>
        <w:t>Yin-Yang</w:t>
      </w:r>
      <w:r w:rsidRPr="00C04D42">
        <w:t xml:space="preserve"> and </w:t>
      </w:r>
      <w:r w:rsidR="0010746E" w:rsidRPr="00C04D42">
        <w:t xml:space="preserve">Hegelian </w:t>
      </w:r>
      <w:r w:rsidRPr="00C04D42">
        <w:t xml:space="preserve">models remain distinct </w:t>
      </w:r>
      <w:r w:rsidRPr="00C04D42">
        <w:lastRenderedPageBreak/>
        <w:t xml:space="preserve">from one another. While the </w:t>
      </w:r>
      <w:r w:rsidRPr="00C04D42">
        <w:rPr>
          <w:i/>
        </w:rPr>
        <w:t>Yin-Yang</w:t>
      </w:r>
      <w:r w:rsidRPr="00C04D42">
        <w:t xml:space="preserve"> model maintains the distinction and relative individuality of its contradictory forces, the Hegelian model insists on forming a new approach that integrates aspects of the original contradictory perspectives.</w:t>
      </w:r>
    </w:p>
    <w:p w14:paraId="00000007" w14:textId="5654316D" w:rsidR="00F24F37" w:rsidRPr="00C04D42" w:rsidRDefault="00FE5FD8" w:rsidP="00033107">
      <w:pPr>
        <w:pBdr>
          <w:top w:val="nil"/>
          <w:left w:val="nil"/>
          <w:bottom w:val="nil"/>
          <w:right w:val="nil"/>
          <w:between w:val="nil"/>
        </w:pBdr>
        <w:ind w:firstLine="0"/>
      </w:pPr>
      <w:r w:rsidRPr="00C04D42">
        <w:tab/>
        <w:t>Christology—the theological study of the nature and work of Jesus Christ—is at the crux of the Christian faith, for there is no</w:t>
      </w:r>
      <w:r w:rsidR="001B66E7" w:rsidRPr="00C04D42">
        <w:t xml:space="preserve"> movement without its leader, no theistic religion without its god, no</w:t>
      </w:r>
      <w:r w:rsidRPr="00C04D42">
        <w:t xml:space="preserve"> </w:t>
      </w:r>
      <w:r w:rsidRPr="00C04D42">
        <w:rPr>
          <w:i/>
        </w:rPr>
        <w:t>Christianity</w:t>
      </w:r>
      <w:r w:rsidRPr="00C04D42">
        <w:t xml:space="preserve"> without its </w:t>
      </w:r>
      <w:r w:rsidRPr="00C04D42">
        <w:rPr>
          <w:i/>
        </w:rPr>
        <w:t>Christ</w:t>
      </w:r>
      <w:r w:rsidRPr="00C04D42">
        <w:t xml:space="preserve">. This matter bears considerable weight when considering the doctrine of the </w:t>
      </w:r>
      <w:r w:rsidRPr="00C04D42">
        <w:rPr>
          <w:i/>
        </w:rPr>
        <w:t>Incarnation</w:t>
      </w:r>
      <w:r w:rsidRPr="00C04D42">
        <w:t xml:space="preserve">: that God was enfleshed in the person of Jesus Christ, entering into humanity from the place of divinity. </w:t>
      </w:r>
      <w:r w:rsidR="001B66E7" w:rsidRPr="00C04D42">
        <w:t xml:space="preserve">God became one among creation, the paradoxical Divine who is ever-distant yet ever-near yet engaged in an </w:t>
      </w:r>
      <w:r w:rsidR="00FD56C4" w:rsidRPr="00C04D42">
        <w:t>ever more</w:t>
      </w:r>
      <w:r w:rsidR="001B66E7" w:rsidRPr="00C04D42">
        <w:t xml:space="preserve"> intimate relationship with creation by becoming one with it. </w:t>
      </w:r>
      <w:r w:rsidRPr="00C04D42">
        <w:t xml:space="preserve">There is, however, a particular nuance to the Incarnation, a nuance that is rooted in the interplay between human nature and divine nature. Was one nature superseded by the other, or do the natures coexist, or are both present but with one nature? In other words: what is the </w:t>
      </w:r>
      <w:r w:rsidRPr="00C04D42">
        <w:rPr>
          <w:i/>
        </w:rPr>
        <w:t>relationship</w:t>
      </w:r>
      <w:r w:rsidRPr="00C04D42">
        <w:t xml:space="preserve"> between Jesus’ humanity and divinity in light of the Incarnation? Its subject of Christ’s nature is </w:t>
      </w:r>
      <w:r w:rsidRPr="00C04D42">
        <w:rPr>
          <w:i/>
        </w:rPr>
        <w:t>controversial</w:t>
      </w:r>
      <w:r w:rsidRPr="00C04D42">
        <w:t xml:space="preserve"> for the soundness of this doctrine either validates or discredits the claims of Christianity—that Jesus was God. Without affirming such, Jesus of Nazareth was no more than a nomadic teacher or radical dissident. While discussed and debated in the theological context, the Incarnation requires a philosophical treatment due to it being inherently </w:t>
      </w:r>
      <w:r w:rsidRPr="00C04D42">
        <w:rPr>
          <w:i/>
        </w:rPr>
        <w:t>ontological</w:t>
      </w:r>
      <w:r w:rsidRPr="00C04D42">
        <w:t xml:space="preserve">—concerning the study of being and nature; it confronts the both being-becoming dialectic and the human-divine contradiction. Indeed, humanity and divinity can be perceived as contradictions, and at the least incompatible; when approached with the Christian sensibility, humanity lies within the realms of being, mortality, and tangibility—in stark contrast to the divine which is utterly other, being beyond finitude and time. Contradictions and incompatibilities are likewise evident in approaches to the </w:t>
      </w:r>
      <w:r w:rsidRPr="00C04D42">
        <w:lastRenderedPageBreak/>
        <w:t>Christological controversy regarding the nature of Christ. In particular, the doctrinal formulations of the Council of Chalcedon (referred to in this paper as Chalcedonian Christology) are incompatible with the teachings of Monophysitism, an early ‘heretical’ expression of Christianity present in the East (Encyclopedia Britannica 2019).</w:t>
      </w:r>
    </w:p>
    <w:p w14:paraId="00000008" w14:textId="77777777" w:rsidR="00F24F37" w:rsidRPr="00C04D42" w:rsidRDefault="00FE5FD8" w:rsidP="00033107">
      <w:pPr>
        <w:pBdr>
          <w:top w:val="nil"/>
          <w:left w:val="nil"/>
          <w:bottom w:val="nil"/>
          <w:right w:val="nil"/>
          <w:between w:val="nil"/>
        </w:pBdr>
        <w:ind w:firstLine="0"/>
      </w:pPr>
      <w:r w:rsidRPr="00C04D42">
        <w:tab/>
        <w:t xml:space="preserve">The two distinct approaches at the heart of this controversy are the Christologies of Chalcedon and the Monophysites. </w:t>
      </w:r>
      <w:r w:rsidRPr="00C04D42">
        <w:rPr>
          <w:i/>
        </w:rPr>
        <w:t>Chalcedonian Christology</w:t>
      </w:r>
      <w:r w:rsidRPr="00C04D42">
        <w:t xml:space="preserve"> originates from the decrees formulated and promulgated at the ecumenical Council of Chalcedon in 477, and teaches that Christ possesses two natures, divine and human–concurrently and to equal degrees without conflation (Norris and Rusch 1980, 159). At Chalcedon, it was decreed that Christ is “unalterably, undividedly, inseparably in two natures,” with neither nature superseding the other, instead remaining two distinct natures present in one being (Norris and Rusch 1980, 159). Furthermore, Chalcedon asserts that the two natures coexist yet remain entirely ‘other’ (Che 2015, 3). Chalcedon stressed unity with regard to Christ’s nature, contending that Christ embodied and experienced the fullness of both natures simultaneously (Cross 2001, 361). While this Christological theory is reasonable in its recognition that both divinity and humanity are present—at least to some degree—in the person of Christ, there is no further articulation as to </w:t>
      </w:r>
      <w:r w:rsidRPr="00C04D42">
        <w:rPr>
          <w:i/>
        </w:rPr>
        <w:t>how</w:t>
      </w:r>
      <w:r w:rsidRPr="00C04D42">
        <w:t xml:space="preserve"> it is possible that the two natures can coexist without conflict. It attempts to assert the ability of Christ to harbor two natures in this manner, characterized by the Greek word </w:t>
      </w:r>
      <w:r w:rsidRPr="00C04D42">
        <w:rPr>
          <w:i/>
        </w:rPr>
        <w:t>homoousios</w:t>
      </w:r>
      <w:r w:rsidRPr="00C04D42">
        <w:t xml:space="preserve"> meaning ‘same in essence and being,’ yet lacks substantial explanation when addressing the issue of how such a dichotomy can exist, with explanations being provided in post-Chalcedonian examinations (Cross 2001, 366-367). </w:t>
      </w:r>
      <w:r w:rsidRPr="00C04D42">
        <w:rPr>
          <w:i/>
        </w:rPr>
        <w:t>Monophysite Christology</w:t>
      </w:r>
      <w:r w:rsidRPr="00C04D42">
        <w:t xml:space="preserve">, originating from the Monophysites—an early expression of Christianity deemed ‘heretical’ by certain sects and members of the episcopate—teaches that Christ possessed a sole nature, being entirely divine </w:t>
      </w:r>
      <w:r w:rsidRPr="00C04D42">
        <w:lastRenderedPageBreak/>
        <w:t xml:space="preserve">(Oxford University Press 2013). Monophysites believed that Christ took on human flesh yet did not integrate any degree of human nature into himself, instead absorbing his humanity into his divinity—entirely negating his humanity in the process leaving only his divinity (Davis 1990, 209). Furthermore, they posited that Christ was able to enter into the fullness of human corporeality by the necessity of his salvific work and not of any external pressure brought upon by human nature (Pelikan 1971, 272). For the Monophysites, there was no </w:t>
      </w:r>
      <w:r w:rsidRPr="00C04D42">
        <w:rPr>
          <w:i/>
        </w:rPr>
        <w:t>hypostatic union</w:t>
      </w:r>
      <w:r w:rsidRPr="00C04D42">
        <w:t>—no union of two natures in a single person; instead, there was one nature in one person, an incarnate deity who did not forsake even an ounce of his divinity in light on entering into mortal existence (Davis 1990, 214-215). While the Monophysites’ objection to one person possessing more than one nature is reasonable, the lack of articulation as to how Christ remained expressive in every human capacity is questionable. How is it that a person with all the characteristics of humanity is not himself a human, not possessing human nature even to the slightest degree?</w:t>
      </w:r>
    </w:p>
    <w:p w14:paraId="00000009" w14:textId="09154ED4" w:rsidR="00F24F37" w:rsidRPr="00C04D42" w:rsidRDefault="00FE5FD8" w:rsidP="00033107">
      <w:pPr>
        <w:pBdr>
          <w:top w:val="nil"/>
          <w:left w:val="nil"/>
          <w:bottom w:val="nil"/>
          <w:right w:val="nil"/>
          <w:between w:val="nil"/>
        </w:pBdr>
        <w:ind w:firstLine="0"/>
      </w:pPr>
      <w:r w:rsidRPr="00C04D42">
        <w:tab/>
        <w:t xml:space="preserve">In applying, firstly, the Hegelian model to analyze the relationship between the </w:t>
      </w:r>
      <w:r w:rsidR="005E00DA" w:rsidRPr="00C04D42">
        <w:t>Chalcedonian</w:t>
      </w:r>
      <w:r w:rsidRPr="00C04D42">
        <w:t xml:space="preserve"> and Monophysite Christological theories, it is evident that the Monophysite approach is closer, yet not in precise alignment, to the Hegelian model. Monophysites recognized that humanity and divinity were contradictions and that there was a need to somehow reconcile the two, reflecting the Hegelian stages of </w:t>
      </w:r>
      <w:r w:rsidRPr="00C04D42">
        <w:rPr>
          <w:i/>
        </w:rPr>
        <w:t>thesis</w:t>
      </w:r>
      <w:r w:rsidRPr="00C04D42">
        <w:t xml:space="preserve"> and </w:t>
      </w:r>
      <w:r w:rsidRPr="00C04D42">
        <w:rPr>
          <w:i/>
        </w:rPr>
        <w:t>antithesis</w:t>
      </w:r>
      <w:r w:rsidRPr="00C04D42">
        <w:t xml:space="preserve">. Beyond this, Monophysitism diverges from the Hegelian model; rather than forming one new entity—a new nature—from the two contradicting entities, Monophysitism teaches that Christ merely </w:t>
      </w:r>
      <w:r w:rsidRPr="00C04D42">
        <w:rPr>
          <w:i/>
        </w:rPr>
        <w:t>retained</w:t>
      </w:r>
      <w:r w:rsidRPr="00C04D42">
        <w:t xml:space="preserve"> one nature (divinity) and suppressed the other (humanity). When analyzed in light of the Hegelian model, Monophysite Christology is reasonable in maintaining that Christ has but one nature as it seems difficult, if not illogical, for two natures to simultaneously exist and reside in the same being despite being incompatible. This is not merely an issue of ‘one being, one nature’ but the </w:t>
      </w:r>
      <w:r w:rsidRPr="00C04D42">
        <w:lastRenderedPageBreak/>
        <w:t>difficulty there is in attempting to reconcile two incongruent entities. Monophysitism addresses this dilemma in a similar vein as the Hegelian model</w:t>
      </w:r>
      <w:bookmarkStart w:id="0" w:name="_Hlk103585943"/>
      <w:r w:rsidRPr="00C04D42">
        <w:t>—</w:t>
      </w:r>
      <w:bookmarkEnd w:id="0"/>
      <w:r w:rsidRPr="00C04D42">
        <w:t xml:space="preserve">by asserting that in the end there must be only </w:t>
      </w:r>
      <w:r w:rsidRPr="00C04D42">
        <w:rPr>
          <w:i/>
        </w:rPr>
        <w:t>one</w:t>
      </w:r>
      <w:r w:rsidRPr="00C04D42">
        <w:t xml:space="preserve"> entity, essence, or nature; for Monophysites this means that Christ retained one nature out of two, while for Hegel this means that one </w:t>
      </w:r>
      <w:r w:rsidRPr="00C04D42">
        <w:rPr>
          <w:i/>
        </w:rPr>
        <w:t>new</w:t>
      </w:r>
      <w:r w:rsidRPr="00C04D42">
        <w:t xml:space="preserve"> nature or force is created by reconciling two opposing forced through subl</w:t>
      </w:r>
      <w:r w:rsidR="009F2177" w:rsidRPr="00C04D42">
        <w:t>ation</w:t>
      </w:r>
      <w:r w:rsidRPr="00C04D42">
        <w:t xml:space="preserve">. </w:t>
      </w:r>
      <w:r w:rsidR="00151940" w:rsidRPr="00C04D42">
        <w:t>In Monophysit</w:t>
      </w:r>
      <w:r w:rsidR="000572E1" w:rsidRPr="00C04D42">
        <w:t>ism</w:t>
      </w:r>
      <w:r w:rsidR="00151940" w:rsidRPr="00C04D42">
        <w:t>, there is no reconciliation between</w:t>
      </w:r>
      <w:r w:rsidR="000572E1" w:rsidRPr="00C04D42">
        <w:t xml:space="preserve"> the two natures—one </w:t>
      </w:r>
      <w:r w:rsidR="000572E1" w:rsidRPr="00C04D42">
        <w:rPr>
          <w:i/>
          <w:iCs/>
        </w:rPr>
        <w:t>must</w:t>
      </w:r>
      <w:r w:rsidR="000572E1" w:rsidRPr="00C04D42">
        <w:t xml:space="preserve"> ultimately win out</w:t>
      </w:r>
      <w:r w:rsidR="00151940" w:rsidRPr="00C04D42">
        <w:t>.</w:t>
      </w:r>
      <w:r w:rsidR="004A1DDC" w:rsidRPr="00C04D42">
        <w:t xml:space="preserve"> One nature—namely, the divine—was retained rather than a third, new nature being created.</w:t>
      </w:r>
      <w:r w:rsidR="001D329C" w:rsidRPr="00C04D42">
        <w:t xml:space="preserve"> Thus, Christ’s humanity and divinity are not, to employ the Confucian usage of this term, </w:t>
      </w:r>
      <w:r w:rsidR="001D329C" w:rsidRPr="00C04D42">
        <w:rPr>
          <w:i/>
          <w:iCs/>
        </w:rPr>
        <w:t>complementary</w:t>
      </w:r>
      <w:r w:rsidR="001D329C" w:rsidRPr="00C04D42">
        <w:t xml:space="preserve">. </w:t>
      </w:r>
      <w:r w:rsidR="00956CD4" w:rsidRPr="00C04D42">
        <w:t xml:space="preserve">In applying this principle of </w:t>
      </w:r>
      <w:r w:rsidR="00956CD4" w:rsidRPr="00C04D42">
        <w:rPr>
          <w:i/>
          <w:iCs/>
        </w:rPr>
        <w:t xml:space="preserve">complementary forces </w:t>
      </w:r>
      <w:r w:rsidR="00956CD4" w:rsidRPr="00C04D42">
        <w:t>which is central</w:t>
      </w:r>
      <w:r w:rsidR="001D329C" w:rsidRPr="00C04D42">
        <w:t xml:space="preserve"> </w:t>
      </w:r>
      <w:r w:rsidR="001D329C" w:rsidRPr="00C04D42">
        <w:rPr>
          <w:i/>
          <w:iCs/>
        </w:rPr>
        <w:t>Yin-</w:t>
      </w:r>
      <w:r w:rsidR="00956CD4" w:rsidRPr="00C04D42">
        <w:rPr>
          <w:i/>
          <w:iCs/>
        </w:rPr>
        <w:t>y</w:t>
      </w:r>
      <w:r w:rsidR="001D329C" w:rsidRPr="00C04D42">
        <w:rPr>
          <w:i/>
          <w:iCs/>
        </w:rPr>
        <w:t>ang</w:t>
      </w:r>
      <w:r w:rsidR="001D329C" w:rsidRPr="00C04D42">
        <w:t xml:space="preserve"> model</w:t>
      </w:r>
      <w:r w:rsidR="00956CD4" w:rsidRPr="00C04D42">
        <w:t xml:space="preserve">, one comes to see that in the Monophysite Christological theory the supersession that takes place is antithetical to this principle. Whereas a complementary relationship </w:t>
      </w:r>
      <w:r w:rsidR="00A94081" w:rsidRPr="00C04D42">
        <w:t xml:space="preserve">according to the </w:t>
      </w:r>
      <w:r w:rsidR="00A94081" w:rsidRPr="00C04D42">
        <w:rPr>
          <w:i/>
          <w:iCs/>
        </w:rPr>
        <w:t>Yin-yang model</w:t>
      </w:r>
      <w:r w:rsidR="00A94081" w:rsidRPr="00C04D42">
        <w:t xml:space="preserve"> </w:t>
      </w:r>
      <w:r w:rsidR="00956CD4" w:rsidRPr="00C04D42">
        <w:t xml:space="preserve">would have two opposing forces mutually engage and support one another without militant combativeness, </w:t>
      </w:r>
      <w:r w:rsidR="00A94081" w:rsidRPr="00C04D42">
        <w:t>Monophysite</w:t>
      </w:r>
      <w:r w:rsidR="00956CD4" w:rsidRPr="00C04D42">
        <w:t xml:space="preserve"> Christolog</w:t>
      </w:r>
      <w:r w:rsidR="00A94081" w:rsidRPr="00C04D42">
        <w:t>y maintains that divine nature and human nature are strictly incompatible and can in no way coexist within the person of Christ.</w:t>
      </w:r>
      <w:r w:rsidR="00151940" w:rsidRPr="00C04D42">
        <w:t xml:space="preserve"> </w:t>
      </w:r>
      <w:r w:rsidRPr="00C04D42">
        <w:t>In contrast</w:t>
      </w:r>
      <w:r w:rsidR="00A94081" w:rsidRPr="00C04D42">
        <w:t xml:space="preserve"> to Monophysite Christology</w:t>
      </w:r>
      <w:r w:rsidRPr="00C04D42">
        <w:t xml:space="preserve">, Chalcedonian Christology is hardly applicable to the Hegelian Model as Chalcedon maintains the distinct, simultaneous, coexistence of </w:t>
      </w:r>
      <w:r w:rsidRPr="00C04D42">
        <w:rPr>
          <w:i/>
        </w:rPr>
        <w:t>two</w:t>
      </w:r>
      <w:r w:rsidRPr="00C04D42">
        <w:t xml:space="preserve"> natures in the </w:t>
      </w:r>
      <w:r w:rsidRPr="00C04D42">
        <w:rPr>
          <w:i/>
        </w:rPr>
        <w:t>one</w:t>
      </w:r>
      <w:r w:rsidRPr="00C04D42">
        <w:t xml:space="preserve"> person of Christ. Therefore, similarities are more appropriately drawn between Chalcedonian Christology and the </w:t>
      </w:r>
      <w:r w:rsidRPr="00C04D42">
        <w:rPr>
          <w:i/>
        </w:rPr>
        <w:t>Yin-yang</w:t>
      </w:r>
      <w:r w:rsidRPr="00C04D42">
        <w:t xml:space="preserve"> model. </w:t>
      </w:r>
    </w:p>
    <w:p w14:paraId="0000000A" w14:textId="69041436" w:rsidR="00F24F37" w:rsidRPr="00C04D42" w:rsidRDefault="00FE5FD8" w:rsidP="00033107">
      <w:pPr>
        <w:pBdr>
          <w:top w:val="nil"/>
          <w:left w:val="nil"/>
          <w:bottom w:val="nil"/>
          <w:right w:val="nil"/>
          <w:between w:val="nil"/>
        </w:pBdr>
        <w:ind w:firstLine="0"/>
      </w:pPr>
      <w:r w:rsidRPr="00C04D42">
        <w:tab/>
        <w:t xml:space="preserve">Chalcedonian Christology is in closer alignment with the </w:t>
      </w:r>
      <w:r w:rsidRPr="00C04D42">
        <w:rPr>
          <w:i/>
        </w:rPr>
        <w:t>Yin-yang</w:t>
      </w:r>
      <w:r w:rsidRPr="00C04D42">
        <w:t xml:space="preserve"> model than it is with the Hegelian Model. The </w:t>
      </w:r>
      <w:r w:rsidRPr="00C04D42">
        <w:rPr>
          <w:i/>
        </w:rPr>
        <w:t>Yin-yang</w:t>
      </w:r>
      <w:r w:rsidRPr="00C04D42">
        <w:t xml:space="preserve"> model posits that two oppositional yet complementary forces, </w:t>
      </w:r>
      <w:r w:rsidRPr="00C04D42">
        <w:rPr>
          <w:i/>
        </w:rPr>
        <w:t>yin</w:t>
      </w:r>
      <w:r w:rsidRPr="00C04D42">
        <w:t xml:space="preserve"> and </w:t>
      </w:r>
      <w:r w:rsidRPr="00C04D42">
        <w:rPr>
          <w:i/>
        </w:rPr>
        <w:t>yang</w:t>
      </w:r>
      <w:r w:rsidRPr="00C04D42">
        <w:t xml:space="preserve">, reside in everything which exists; in other words, </w:t>
      </w:r>
      <w:r w:rsidRPr="00C04D42">
        <w:rPr>
          <w:i/>
        </w:rPr>
        <w:t>two</w:t>
      </w:r>
      <w:r w:rsidRPr="00C04D42">
        <w:t xml:space="preserve"> forces coexist within </w:t>
      </w:r>
      <w:r w:rsidRPr="00C04D42">
        <w:rPr>
          <w:i/>
        </w:rPr>
        <w:t>one</w:t>
      </w:r>
      <w:r w:rsidRPr="00C04D42">
        <w:t xml:space="preserve"> being. In a similar vein, Chalcedon asserted that </w:t>
      </w:r>
      <w:r w:rsidRPr="00C04D42">
        <w:rPr>
          <w:i/>
        </w:rPr>
        <w:t xml:space="preserve">two </w:t>
      </w:r>
      <w:r w:rsidRPr="00C04D42">
        <w:t xml:space="preserve">natures, divine and human, reside in the </w:t>
      </w:r>
      <w:r w:rsidRPr="00C04D42">
        <w:rPr>
          <w:i/>
        </w:rPr>
        <w:t>one</w:t>
      </w:r>
      <w:r w:rsidRPr="00C04D42">
        <w:t xml:space="preserve"> person of Christ. Both the </w:t>
      </w:r>
      <w:r w:rsidRPr="00C04D42">
        <w:rPr>
          <w:i/>
        </w:rPr>
        <w:t>Yin-yang</w:t>
      </w:r>
      <w:r w:rsidRPr="00C04D42">
        <w:t xml:space="preserve"> model and Chalcedonian Christology acknowledge the opposition and contradiction between the two forces, yet nonetheless recognize that both coexist </w:t>
      </w:r>
      <w:r w:rsidRPr="00C04D42">
        <w:lastRenderedPageBreak/>
        <w:t xml:space="preserve">in their entirety without one force undermining the other. Furthermore, Chalcedon, as does the </w:t>
      </w:r>
      <w:r w:rsidRPr="00C04D42">
        <w:rPr>
          <w:i/>
        </w:rPr>
        <w:t>Yin-yang</w:t>
      </w:r>
      <w:r w:rsidRPr="00C04D42">
        <w:t xml:space="preserve"> model, gives equal significance to both natures and recognizes both as being crucial to the essence and activity of Christ. However, </w:t>
      </w:r>
      <w:r w:rsidRPr="00C04D42">
        <w:rPr>
          <w:i/>
        </w:rPr>
        <w:t>Chalcedon’s</w:t>
      </w:r>
      <w:r w:rsidRPr="00C04D42">
        <w:t xml:space="preserve"> point of derivation is in the becoming-aspect of the </w:t>
      </w:r>
      <w:r w:rsidRPr="00C04D42">
        <w:rPr>
          <w:i/>
        </w:rPr>
        <w:t>Yin-yang</w:t>
      </w:r>
      <w:r w:rsidRPr="00C04D42">
        <w:t xml:space="preserve"> model; rather than integrate aspects of the opposing force into itself to a degree, Christ’s two natures remain utterly independent from each other without conflation. His divinity and humanity converge in his person, but do not infuse any amount of their essence in the opposing nature</w:t>
      </w:r>
      <w:r w:rsidR="004A1DDC" w:rsidRPr="00C04D42">
        <w:t>, therefore remaining ‘untainted’ and avoiding even the slightest alteration to either’s nature</w:t>
      </w:r>
      <w:r w:rsidRPr="00C04D42">
        <w:t>.</w:t>
      </w:r>
      <w:r w:rsidR="00033107" w:rsidRPr="00C04D42">
        <w:t xml:space="preserve"> This only adds to the inexplicability</w:t>
      </w:r>
      <w:r w:rsidR="00E23D56" w:rsidRPr="00C04D42">
        <w:t>—</w:t>
      </w:r>
      <w:r w:rsidR="00F937DC" w:rsidRPr="00C04D42">
        <w:t>the</w:t>
      </w:r>
      <w:r w:rsidR="00E23D56" w:rsidRPr="00C04D42">
        <w:t xml:space="preserve"> </w:t>
      </w:r>
      <w:r w:rsidR="00E23D56" w:rsidRPr="00C04D42">
        <w:rPr>
          <w:i/>
          <w:iCs/>
        </w:rPr>
        <w:t>mystery</w:t>
      </w:r>
      <w:r w:rsidR="00E23D56" w:rsidRPr="00C04D42">
        <w:t>—</w:t>
      </w:r>
      <w:r w:rsidR="00033107" w:rsidRPr="00C04D42">
        <w:t>of this Christological theory, which</w:t>
      </w:r>
      <w:r w:rsidR="00E23D56" w:rsidRPr="00C04D42">
        <w:t xml:space="preserve"> </w:t>
      </w:r>
      <w:r w:rsidR="00033107" w:rsidRPr="00C04D42">
        <w:t>will require a</w:t>
      </w:r>
      <w:r w:rsidR="00E23D56" w:rsidRPr="00C04D42">
        <w:t xml:space="preserve">n inevitable </w:t>
      </w:r>
      <w:r w:rsidR="00033107" w:rsidRPr="00C04D42">
        <w:t>shift from philosophy to theology</w:t>
      </w:r>
      <w:r w:rsidR="00E23D56" w:rsidRPr="00C04D42">
        <w:t>. Nonetheless, within the bounds of a philosophical treatment</w:t>
      </w:r>
      <w:r w:rsidR="005E00DA" w:rsidRPr="00C04D42">
        <w:t xml:space="preserve"> in the context of the </w:t>
      </w:r>
      <w:r w:rsidR="005E00DA" w:rsidRPr="00C04D42">
        <w:rPr>
          <w:i/>
          <w:iCs/>
        </w:rPr>
        <w:t>Yin-yang</w:t>
      </w:r>
      <w:r w:rsidR="005E00DA" w:rsidRPr="00C04D42">
        <w:t xml:space="preserve"> model, the difficulty with Chalcedon’s Christology lies in its proposition that two </w:t>
      </w:r>
      <w:r w:rsidR="00151940" w:rsidRPr="00C04D42">
        <w:t xml:space="preserve">natures have equal potency and activity in one person without ever coming into any apparent conflict. As </w:t>
      </w:r>
      <w:r w:rsidR="00151940" w:rsidRPr="00C04D42">
        <w:rPr>
          <w:i/>
          <w:iCs/>
        </w:rPr>
        <w:t>yin</w:t>
      </w:r>
      <w:r w:rsidR="00151940" w:rsidRPr="00C04D42">
        <w:t xml:space="preserve"> and </w:t>
      </w:r>
      <w:r w:rsidR="00151940" w:rsidRPr="00C04D42">
        <w:rPr>
          <w:i/>
          <w:iCs/>
        </w:rPr>
        <w:t>yang</w:t>
      </w:r>
      <w:r w:rsidR="00151940" w:rsidRPr="00C04D42">
        <w:t xml:space="preserve"> coexist in the perpetual endeavor to achieve harmony, so too do the divine and human natures of Christ achieve harmony</w:t>
      </w:r>
      <w:bookmarkStart w:id="1" w:name="_Hlk103547043"/>
      <w:r w:rsidR="00151940" w:rsidRPr="00C04D42">
        <w:t>—</w:t>
      </w:r>
      <w:bookmarkEnd w:id="1"/>
      <w:r w:rsidR="00151940" w:rsidRPr="00C04D42">
        <w:rPr>
          <w:i/>
          <w:iCs/>
        </w:rPr>
        <w:t>two</w:t>
      </w:r>
      <w:r w:rsidR="00151940" w:rsidRPr="00C04D42">
        <w:t xml:space="preserve"> natures, </w:t>
      </w:r>
      <w:r w:rsidR="00151940" w:rsidRPr="00C04D42">
        <w:rPr>
          <w:i/>
          <w:iCs/>
        </w:rPr>
        <w:t>one</w:t>
      </w:r>
      <w:r w:rsidR="00151940" w:rsidRPr="00C04D42">
        <w:t xml:space="preserve"> person.</w:t>
      </w:r>
      <w:r w:rsidR="00E624D3" w:rsidRPr="00C04D42">
        <w:t xml:space="preserve"> To employ Confucian language, </w:t>
      </w:r>
      <w:r w:rsidR="00E352F0" w:rsidRPr="00C04D42">
        <w:t xml:space="preserve">Christ’s humanity and divinity are </w:t>
      </w:r>
      <w:r w:rsidR="00E624D3" w:rsidRPr="00C04D42">
        <w:rPr>
          <w:i/>
          <w:iCs/>
        </w:rPr>
        <w:t>compl</w:t>
      </w:r>
      <w:r w:rsidR="002014E4" w:rsidRPr="00C04D42">
        <w:rPr>
          <w:i/>
          <w:iCs/>
        </w:rPr>
        <w:t>e</w:t>
      </w:r>
      <w:r w:rsidR="00E624D3" w:rsidRPr="00C04D42">
        <w:rPr>
          <w:i/>
          <w:iCs/>
        </w:rPr>
        <w:t>mentary</w:t>
      </w:r>
      <w:r w:rsidR="00E624D3" w:rsidRPr="00C04D42">
        <w:t xml:space="preserve">, </w:t>
      </w:r>
      <w:r w:rsidR="00E352F0" w:rsidRPr="00C04D42">
        <w:t xml:space="preserve">enhancing one another </w:t>
      </w:r>
      <w:r w:rsidR="00305201" w:rsidRPr="00C04D42">
        <w:t xml:space="preserve">through mutual support and recognition of the other’s necessity in the essence of the whole. Christ’s divinity </w:t>
      </w:r>
      <w:r w:rsidR="001A2825" w:rsidRPr="00C04D42">
        <w:rPr>
          <w:i/>
          <w:iCs/>
        </w:rPr>
        <w:t>complements</w:t>
      </w:r>
      <w:r w:rsidR="001A2825" w:rsidRPr="00C04D42">
        <w:t xml:space="preserve"> </w:t>
      </w:r>
      <w:r w:rsidR="00305201" w:rsidRPr="00C04D42">
        <w:t xml:space="preserve">his humanity by </w:t>
      </w:r>
      <w:r w:rsidR="001A2825" w:rsidRPr="00C04D42">
        <w:t>serving as the bridge between the eternal God to the finitude of humanity only because he himself is divin</w:t>
      </w:r>
      <w:r w:rsidR="00DE42BE" w:rsidRPr="00C04D42">
        <w:t>e</w:t>
      </w:r>
      <w:r w:rsidR="001A2825" w:rsidRPr="00C04D42">
        <w:t>—</w:t>
      </w:r>
      <w:r w:rsidR="00DE42BE" w:rsidRPr="00C04D42">
        <w:t>God himself—and therefore has the capacity to enter into creation and be the conduit for salvation. On the other hand, Christ’s</w:t>
      </w:r>
      <w:r w:rsidR="00305201" w:rsidRPr="00C04D42">
        <w:t xml:space="preserve"> humanity </w:t>
      </w:r>
      <w:r w:rsidR="001A2825" w:rsidRPr="00C04D42">
        <w:rPr>
          <w:i/>
          <w:iCs/>
        </w:rPr>
        <w:t>complements</w:t>
      </w:r>
      <w:r w:rsidR="00305201" w:rsidRPr="00C04D42">
        <w:t xml:space="preserve"> his divinity by </w:t>
      </w:r>
      <w:r w:rsidR="00C647B0" w:rsidRPr="00C04D42">
        <w:t>becoming entirely unified in the creation he so intends to redeem; theologically, it makes more</w:t>
      </w:r>
      <w:r w:rsidR="002F2C05" w:rsidRPr="00C04D42">
        <w:t xml:space="preserve"> </w:t>
      </w:r>
      <w:r w:rsidR="00C647B0" w:rsidRPr="00C04D42">
        <w:t>sense for God to have become human in order to redeem rather than remain distant and redeem</w:t>
      </w:r>
      <w:r w:rsidR="002F2C05" w:rsidRPr="00C04D42">
        <w:t xml:space="preserve"> </w:t>
      </w:r>
      <w:r w:rsidR="002F2C05" w:rsidRPr="00C04D42">
        <w:rPr>
          <w:i/>
          <w:iCs/>
        </w:rPr>
        <w:t xml:space="preserve">by </w:t>
      </w:r>
      <w:r w:rsidR="00C647B0" w:rsidRPr="00C04D42">
        <w:rPr>
          <w:i/>
          <w:iCs/>
        </w:rPr>
        <w:t>proxy</w:t>
      </w:r>
      <w:r w:rsidR="00305201" w:rsidRPr="00C04D42">
        <w:t>.</w:t>
      </w:r>
      <w:r w:rsidR="00386BF8" w:rsidRPr="00C04D42">
        <w:t xml:space="preserve"> The coexistence and relationship between the divine and human natures of Christ are not only necessary in the ‘economy of salvation’; their status as complementary forces are as </w:t>
      </w:r>
      <w:r w:rsidR="00386BF8" w:rsidRPr="00C04D42">
        <w:lastRenderedPageBreak/>
        <w:t xml:space="preserve">necessary in the broader context of the Incarnation, in which God was no longer a strictly theological reality but also an anthropological reality. By becoming one with creation by becoming a being within it, God </w:t>
      </w:r>
      <w:r w:rsidR="001E108E" w:rsidRPr="00C04D42">
        <w:t xml:space="preserve">in the person of Jesus Christ (the second person of the Trinity) served as the bridge between humanity and divinity, closing the divide between the finite and the infinite, the </w:t>
      </w:r>
      <w:r w:rsidR="001263DE" w:rsidRPr="00C04D42">
        <w:t>earthly and the transcendent.</w:t>
      </w:r>
      <w:r w:rsidR="00386BF8" w:rsidRPr="00C04D42">
        <w:t xml:space="preserve"> </w:t>
      </w:r>
      <w:r w:rsidR="00F937DC" w:rsidRPr="00C04D42">
        <w:t xml:space="preserve"> </w:t>
      </w:r>
    </w:p>
    <w:p w14:paraId="2008C9ED" w14:textId="005FD9D4" w:rsidR="00033107" w:rsidRPr="00C04D42" w:rsidRDefault="00033107" w:rsidP="00033107">
      <w:pPr>
        <w:pBdr>
          <w:top w:val="nil"/>
          <w:left w:val="nil"/>
          <w:bottom w:val="nil"/>
          <w:right w:val="nil"/>
          <w:between w:val="nil"/>
        </w:pBdr>
        <w:ind w:firstLine="0"/>
      </w:pPr>
    </w:p>
    <w:p w14:paraId="78343B81" w14:textId="06DBCB7D" w:rsidR="00675170" w:rsidRPr="00C04D42" w:rsidRDefault="00675170" w:rsidP="00033107">
      <w:pPr>
        <w:pBdr>
          <w:top w:val="nil"/>
          <w:left w:val="nil"/>
          <w:bottom w:val="nil"/>
          <w:right w:val="nil"/>
          <w:between w:val="nil"/>
        </w:pBdr>
        <w:ind w:firstLine="0"/>
      </w:pPr>
    </w:p>
    <w:p w14:paraId="391A336E" w14:textId="3D33E591" w:rsidR="00675170" w:rsidRPr="00C04D42" w:rsidRDefault="00675170" w:rsidP="00033107">
      <w:pPr>
        <w:pBdr>
          <w:top w:val="nil"/>
          <w:left w:val="nil"/>
          <w:bottom w:val="nil"/>
          <w:right w:val="nil"/>
          <w:between w:val="nil"/>
        </w:pBdr>
        <w:ind w:firstLine="0"/>
      </w:pPr>
    </w:p>
    <w:p w14:paraId="0AFAC704" w14:textId="51B1A80A" w:rsidR="00675170" w:rsidRPr="00C04D42" w:rsidRDefault="00675170" w:rsidP="00033107">
      <w:pPr>
        <w:pBdr>
          <w:top w:val="nil"/>
          <w:left w:val="nil"/>
          <w:bottom w:val="nil"/>
          <w:right w:val="nil"/>
          <w:between w:val="nil"/>
        </w:pBdr>
        <w:ind w:firstLine="0"/>
      </w:pPr>
    </w:p>
    <w:p w14:paraId="27885B54" w14:textId="35247B3C" w:rsidR="00675170" w:rsidRPr="00C04D42" w:rsidRDefault="00675170" w:rsidP="00033107">
      <w:pPr>
        <w:pBdr>
          <w:top w:val="nil"/>
          <w:left w:val="nil"/>
          <w:bottom w:val="nil"/>
          <w:right w:val="nil"/>
          <w:between w:val="nil"/>
        </w:pBdr>
        <w:ind w:firstLine="0"/>
      </w:pPr>
    </w:p>
    <w:p w14:paraId="53987ED8" w14:textId="1C46FA57" w:rsidR="00675170" w:rsidRPr="00C04D42" w:rsidRDefault="00675170" w:rsidP="00033107">
      <w:pPr>
        <w:pBdr>
          <w:top w:val="nil"/>
          <w:left w:val="nil"/>
          <w:bottom w:val="nil"/>
          <w:right w:val="nil"/>
          <w:between w:val="nil"/>
        </w:pBdr>
        <w:ind w:firstLine="0"/>
      </w:pPr>
    </w:p>
    <w:p w14:paraId="69FE9539" w14:textId="66AF9FB2" w:rsidR="00675170" w:rsidRPr="00C04D42" w:rsidRDefault="00675170" w:rsidP="00033107">
      <w:pPr>
        <w:pBdr>
          <w:top w:val="nil"/>
          <w:left w:val="nil"/>
          <w:bottom w:val="nil"/>
          <w:right w:val="nil"/>
          <w:between w:val="nil"/>
        </w:pBdr>
        <w:ind w:firstLine="0"/>
      </w:pPr>
    </w:p>
    <w:p w14:paraId="7A8E5065" w14:textId="40AF1FA3" w:rsidR="00675170" w:rsidRPr="00C04D42" w:rsidRDefault="00675170" w:rsidP="00033107">
      <w:pPr>
        <w:pBdr>
          <w:top w:val="nil"/>
          <w:left w:val="nil"/>
          <w:bottom w:val="nil"/>
          <w:right w:val="nil"/>
          <w:between w:val="nil"/>
        </w:pBdr>
        <w:ind w:firstLine="0"/>
      </w:pPr>
    </w:p>
    <w:p w14:paraId="195D8E41" w14:textId="35270584" w:rsidR="00675170" w:rsidRPr="00C04D42" w:rsidRDefault="00675170" w:rsidP="00033107">
      <w:pPr>
        <w:pBdr>
          <w:top w:val="nil"/>
          <w:left w:val="nil"/>
          <w:bottom w:val="nil"/>
          <w:right w:val="nil"/>
          <w:between w:val="nil"/>
        </w:pBdr>
        <w:ind w:firstLine="0"/>
      </w:pPr>
    </w:p>
    <w:p w14:paraId="350B71BF" w14:textId="1317693B" w:rsidR="00675170" w:rsidRPr="00C04D42" w:rsidRDefault="00675170" w:rsidP="00033107">
      <w:pPr>
        <w:pBdr>
          <w:top w:val="nil"/>
          <w:left w:val="nil"/>
          <w:bottom w:val="nil"/>
          <w:right w:val="nil"/>
          <w:between w:val="nil"/>
        </w:pBdr>
        <w:ind w:firstLine="0"/>
      </w:pPr>
    </w:p>
    <w:p w14:paraId="042CC2CC" w14:textId="4439AEBA" w:rsidR="00675170" w:rsidRPr="00C04D42" w:rsidRDefault="00675170" w:rsidP="00033107">
      <w:pPr>
        <w:pBdr>
          <w:top w:val="nil"/>
          <w:left w:val="nil"/>
          <w:bottom w:val="nil"/>
          <w:right w:val="nil"/>
          <w:between w:val="nil"/>
        </w:pBdr>
        <w:ind w:firstLine="0"/>
      </w:pPr>
    </w:p>
    <w:p w14:paraId="73F0EC42" w14:textId="7CA4A63F" w:rsidR="00675170" w:rsidRPr="00C04D42" w:rsidRDefault="00675170" w:rsidP="00033107">
      <w:pPr>
        <w:pBdr>
          <w:top w:val="nil"/>
          <w:left w:val="nil"/>
          <w:bottom w:val="nil"/>
          <w:right w:val="nil"/>
          <w:between w:val="nil"/>
        </w:pBdr>
        <w:ind w:firstLine="0"/>
      </w:pPr>
    </w:p>
    <w:p w14:paraId="538AABE8" w14:textId="09F1C837" w:rsidR="00675170" w:rsidRPr="00C04D42" w:rsidRDefault="00675170" w:rsidP="00033107">
      <w:pPr>
        <w:pBdr>
          <w:top w:val="nil"/>
          <w:left w:val="nil"/>
          <w:bottom w:val="nil"/>
          <w:right w:val="nil"/>
          <w:between w:val="nil"/>
        </w:pBdr>
        <w:ind w:firstLine="0"/>
      </w:pPr>
    </w:p>
    <w:p w14:paraId="1B9A8CCC" w14:textId="13182509" w:rsidR="00675170" w:rsidRPr="00C04D42" w:rsidRDefault="00675170" w:rsidP="00033107">
      <w:pPr>
        <w:pBdr>
          <w:top w:val="nil"/>
          <w:left w:val="nil"/>
          <w:bottom w:val="nil"/>
          <w:right w:val="nil"/>
          <w:between w:val="nil"/>
        </w:pBdr>
        <w:ind w:firstLine="0"/>
      </w:pPr>
    </w:p>
    <w:p w14:paraId="20518338" w14:textId="7223B09D" w:rsidR="00675170" w:rsidRPr="00C04D42" w:rsidRDefault="00675170" w:rsidP="00033107">
      <w:pPr>
        <w:pBdr>
          <w:top w:val="nil"/>
          <w:left w:val="nil"/>
          <w:bottom w:val="nil"/>
          <w:right w:val="nil"/>
          <w:between w:val="nil"/>
        </w:pBdr>
        <w:ind w:firstLine="0"/>
      </w:pPr>
    </w:p>
    <w:p w14:paraId="5E3B7CDB" w14:textId="2B31C749" w:rsidR="00675170" w:rsidRPr="00C04D42" w:rsidRDefault="00675170" w:rsidP="00033107">
      <w:pPr>
        <w:pBdr>
          <w:top w:val="nil"/>
          <w:left w:val="nil"/>
          <w:bottom w:val="nil"/>
          <w:right w:val="nil"/>
          <w:between w:val="nil"/>
        </w:pBdr>
        <w:ind w:firstLine="0"/>
      </w:pPr>
    </w:p>
    <w:p w14:paraId="2FB6FA50" w14:textId="19AD8AC8" w:rsidR="00675170" w:rsidRPr="00C04D42" w:rsidRDefault="00675170" w:rsidP="00033107">
      <w:pPr>
        <w:pBdr>
          <w:top w:val="nil"/>
          <w:left w:val="nil"/>
          <w:bottom w:val="nil"/>
          <w:right w:val="nil"/>
          <w:between w:val="nil"/>
        </w:pBdr>
        <w:ind w:firstLine="0"/>
      </w:pPr>
    </w:p>
    <w:p w14:paraId="31B1EB94" w14:textId="77777777" w:rsidR="00675170" w:rsidRPr="00C04D42" w:rsidRDefault="00675170" w:rsidP="00033107">
      <w:pPr>
        <w:pBdr>
          <w:top w:val="nil"/>
          <w:left w:val="nil"/>
          <w:bottom w:val="nil"/>
          <w:right w:val="nil"/>
          <w:between w:val="nil"/>
        </w:pBdr>
        <w:ind w:firstLine="0"/>
      </w:pPr>
    </w:p>
    <w:p w14:paraId="0000000C" w14:textId="77777777" w:rsidR="00F24F37" w:rsidRPr="00C04D42" w:rsidRDefault="00FE5FD8" w:rsidP="00033107">
      <w:pPr>
        <w:widowControl w:val="0"/>
        <w:pBdr>
          <w:top w:val="nil"/>
          <w:left w:val="nil"/>
          <w:bottom w:val="nil"/>
          <w:right w:val="nil"/>
          <w:between w:val="nil"/>
        </w:pBdr>
        <w:ind w:firstLine="0"/>
        <w:jc w:val="center"/>
      </w:pPr>
      <w:r w:rsidRPr="00C04D42">
        <w:lastRenderedPageBreak/>
        <w:t>References</w:t>
      </w:r>
    </w:p>
    <w:p w14:paraId="0000000D" w14:textId="16E82174" w:rsidR="00F24F37" w:rsidRPr="00C04D42" w:rsidRDefault="00FE5FD8" w:rsidP="00033107">
      <w:pPr>
        <w:ind w:left="720" w:hanging="720"/>
      </w:pPr>
      <w:r w:rsidRPr="00C04D42">
        <w:t xml:space="preserve">Britannica, T. Editors of </w:t>
      </w:r>
      <w:r w:rsidR="00FD56C4" w:rsidRPr="00C04D42">
        <w:t>Encyclopedia</w:t>
      </w:r>
      <w:r w:rsidRPr="00C04D42">
        <w:t xml:space="preserve">. "monophysite." Encyclopedia Britannica, July 31, 2019. https://www.britannica.com/topic/monophysite. </w:t>
      </w:r>
    </w:p>
    <w:p w14:paraId="0000000E" w14:textId="77777777" w:rsidR="00F24F37" w:rsidRPr="00C04D42" w:rsidRDefault="00FE5FD8" w:rsidP="00033107">
      <w:pPr>
        <w:ind w:left="720" w:hanging="720"/>
      </w:pPr>
      <w:r w:rsidRPr="00C04D42">
        <w:t xml:space="preserve">Che, Jayoung. "The political and social conflict between Orthodox Christianity (Constantinople and Rome) and Eastern Monophysitism." Athens Journal of History 1, no. 4 (2015): 267-288. </w:t>
      </w:r>
    </w:p>
    <w:p w14:paraId="0000000F" w14:textId="77777777" w:rsidR="00F24F37" w:rsidRPr="00C04D42" w:rsidRDefault="00FE5FD8" w:rsidP="00033107">
      <w:pPr>
        <w:ind w:left="720" w:hanging="720"/>
      </w:pPr>
      <w:r w:rsidRPr="00C04D42">
        <w:t>Cross, Richard. “A Recent Contribution on the Distinction Between Monophysitism and Chalcedonianism.” The Thomist 65, no. 3 (2001): 361–383.</w:t>
      </w:r>
    </w:p>
    <w:p w14:paraId="00000010" w14:textId="77777777" w:rsidR="00F24F37" w:rsidRPr="00C04D42" w:rsidRDefault="00FE5FD8" w:rsidP="00033107">
      <w:pPr>
        <w:ind w:left="720" w:hanging="720"/>
      </w:pPr>
      <w:r w:rsidRPr="00C04D42">
        <w:t>Davis, Leo D. 1990. The First Seven Ecumenical Councils (325-787): Their History and Theology. Collegeville, Minnesota: Liturgical Press.</w:t>
      </w:r>
    </w:p>
    <w:p w14:paraId="00000011" w14:textId="77777777" w:rsidR="00F24F37" w:rsidRPr="00C04D42" w:rsidRDefault="00FE5FD8" w:rsidP="00033107">
      <w:pPr>
        <w:ind w:left="720" w:hanging="720"/>
      </w:pPr>
      <w:r w:rsidRPr="00C04D42">
        <w:t>"Monophysitism." In The Concise Oxford Dictionary of the Christian Church. : Oxford University Press, 2013. https://www-oxfordreference-com.libaccess.sjlibrary.org/view/10.1093/acref/9780199659623.001.0001/acref-9780199659623-e-3888.</w:t>
      </w:r>
    </w:p>
    <w:p w14:paraId="00000012" w14:textId="77777777" w:rsidR="00F24F37" w:rsidRPr="00C04D42" w:rsidRDefault="00FE5FD8" w:rsidP="00033107">
      <w:pPr>
        <w:ind w:left="720" w:hanging="720"/>
      </w:pPr>
      <w:r w:rsidRPr="00C04D42">
        <w:t xml:space="preserve">Norris, Richard A., and William G. Rusch, eds. 1980. </w:t>
      </w:r>
      <w:r w:rsidRPr="00C04D42">
        <w:rPr>
          <w:i/>
        </w:rPr>
        <w:t>The Christological Controversy</w:t>
      </w:r>
      <w:r w:rsidRPr="00C04D42">
        <w:t xml:space="preserve">. Translated by Richard A. Norris. United States of America: Fortress Press. </w:t>
      </w:r>
    </w:p>
    <w:p w14:paraId="00000013" w14:textId="77777777" w:rsidR="00F24F37" w:rsidRDefault="00FE5FD8" w:rsidP="00033107">
      <w:pPr>
        <w:ind w:left="720" w:hanging="720"/>
      </w:pPr>
      <w:r w:rsidRPr="00C04D42">
        <w:t xml:space="preserve">Pelikan, Jaroslav. 1971. </w:t>
      </w:r>
      <w:r w:rsidRPr="00C04D42">
        <w:rPr>
          <w:i/>
        </w:rPr>
        <w:t>The Christian Tradition: A History of the Development of Doctrine, Volume 1: The Emergence of the Catholic Tradition (100-600)</w:t>
      </w:r>
      <w:r w:rsidRPr="00C04D42">
        <w:t>. Chicago, Illinois: University of Chicago Press.</w:t>
      </w:r>
    </w:p>
    <w:p w14:paraId="00000014" w14:textId="77777777" w:rsidR="00F24F37" w:rsidRDefault="00F24F37" w:rsidP="00033107">
      <w:pPr>
        <w:ind w:firstLine="0"/>
      </w:pPr>
    </w:p>
    <w:sectPr w:rsidR="00F24F37">
      <w:headerReference w:type="default" r:id="rId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26E0C5" w14:textId="77777777" w:rsidR="00136574" w:rsidRDefault="00136574">
      <w:pPr>
        <w:spacing w:line="240" w:lineRule="auto"/>
      </w:pPr>
      <w:r>
        <w:separator/>
      </w:r>
    </w:p>
  </w:endnote>
  <w:endnote w:type="continuationSeparator" w:id="0">
    <w:p w14:paraId="39130CD7" w14:textId="77777777" w:rsidR="00136574" w:rsidRDefault="001365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8D5618" w14:textId="77777777" w:rsidR="00136574" w:rsidRDefault="00136574">
      <w:pPr>
        <w:spacing w:line="240" w:lineRule="auto"/>
      </w:pPr>
      <w:r>
        <w:separator/>
      </w:r>
    </w:p>
  </w:footnote>
  <w:footnote w:type="continuationSeparator" w:id="0">
    <w:p w14:paraId="34D6F498" w14:textId="77777777" w:rsidR="00136574" w:rsidRDefault="0013657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15" w14:textId="77777777" w:rsidR="00F24F37" w:rsidRDefault="00F24F37">
    <w:pPr>
      <w:pBdr>
        <w:top w:val="nil"/>
        <w:left w:val="nil"/>
        <w:bottom w:val="nil"/>
        <w:right w:val="nil"/>
        <w:between w:val="nil"/>
      </w:pBdr>
    </w:pPr>
  </w:p>
  <w:p w14:paraId="00000016" w14:textId="1AE45564" w:rsidR="00F24F37" w:rsidRDefault="00FE5FD8">
    <w:pPr>
      <w:pBdr>
        <w:top w:val="nil"/>
        <w:left w:val="nil"/>
        <w:bottom w:val="nil"/>
        <w:right w:val="nil"/>
        <w:between w:val="nil"/>
      </w:pBdr>
      <w:jc w:val="right"/>
    </w:pPr>
    <w:r>
      <w:t xml:space="preserve">Wagas </w:t>
    </w:r>
    <w:r>
      <w:fldChar w:fldCharType="begin"/>
    </w:r>
    <w:r>
      <w:instrText>PAGE</w:instrText>
    </w:r>
    <w:r>
      <w:fldChar w:fldCharType="separate"/>
    </w:r>
    <w:r w:rsidR="007E0450">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4F37"/>
    <w:rsid w:val="00033107"/>
    <w:rsid w:val="000572E1"/>
    <w:rsid w:val="0010746E"/>
    <w:rsid w:val="001263DE"/>
    <w:rsid w:val="00136574"/>
    <w:rsid w:val="00151940"/>
    <w:rsid w:val="001A2825"/>
    <w:rsid w:val="001B66E7"/>
    <w:rsid w:val="001D329C"/>
    <w:rsid w:val="001E108E"/>
    <w:rsid w:val="002014E4"/>
    <w:rsid w:val="002F2C05"/>
    <w:rsid w:val="00305201"/>
    <w:rsid w:val="00386BF8"/>
    <w:rsid w:val="00390227"/>
    <w:rsid w:val="004A1DDC"/>
    <w:rsid w:val="005E00DA"/>
    <w:rsid w:val="005E63F7"/>
    <w:rsid w:val="00675170"/>
    <w:rsid w:val="00675ABF"/>
    <w:rsid w:val="00702030"/>
    <w:rsid w:val="00711503"/>
    <w:rsid w:val="007E0450"/>
    <w:rsid w:val="00956CD4"/>
    <w:rsid w:val="009F2177"/>
    <w:rsid w:val="00A31F65"/>
    <w:rsid w:val="00A72F04"/>
    <w:rsid w:val="00A75688"/>
    <w:rsid w:val="00A94081"/>
    <w:rsid w:val="00BE7A3A"/>
    <w:rsid w:val="00C04D42"/>
    <w:rsid w:val="00C647B0"/>
    <w:rsid w:val="00DE42BE"/>
    <w:rsid w:val="00E23D56"/>
    <w:rsid w:val="00E352F0"/>
    <w:rsid w:val="00E624D3"/>
    <w:rsid w:val="00F24F37"/>
    <w:rsid w:val="00F937DC"/>
    <w:rsid w:val="00FD56C4"/>
    <w:rsid w:val="00FE5F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19CA0"/>
  <w15:docId w15:val="{FDD8193C-ED57-4C11-A616-8C1B94DEF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 w:eastAsia="en-US"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200"/>
      <w:ind w:firstLine="0"/>
      <w:outlineLvl w:val="0"/>
    </w:pPr>
  </w:style>
  <w:style w:type="paragraph" w:styleId="Heading2">
    <w:name w:val="heading 2"/>
    <w:basedOn w:val="Normal"/>
    <w:next w:val="Normal"/>
    <w:uiPriority w:val="9"/>
    <w:semiHidden/>
    <w:unhideWhenUsed/>
    <w:qFormat/>
    <w:pPr>
      <w:keepNext/>
      <w:keepLines/>
      <w:spacing w:before="200"/>
      <w:outlineLvl w:val="1"/>
    </w:pPr>
    <w:rPr>
      <w:rFonts w:ascii="Trebuchet MS" w:eastAsia="Trebuchet MS" w:hAnsi="Trebuchet MS" w:cs="Trebuchet MS"/>
      <w:b/>
      <w:sz w:val="26"/>
      <w:szCs w:val="26"/>
    </w:rPr>
  </w:style>
  <w:style w:type="paragraph" w:styleId="Heading3">
    <w:name w:val="heading 3"/>
    <w:basedOn w:val="Normal"/>
    <w:next w:val="Normal"/>
    <w:uiPriority w:val="9"/>
    <w:semiHidden/>
    <w:unhideWhenUsed/>
    <w:qFormat/>
    <w:pPr>
      <w:keepNext/>
      <w:keepLines/>
      <w:spacing w:before="160"/>
      <w:outlineLvl w:val="2"/>
    </w:pPr>
    <w:rPr>
      <w:rFonts w:ascii="Trebuchet MS" w:eastAsia="Trebuchet MS" w:hAnsi="Trebuchet MS" w:cs="Trebuchet MS"/>
      <w:b/>
      <w:color w:val="666666"/>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sz w:val="22"/>
      <w:szCs w:val="22"/>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sz w:val="22"/>
      <w:szCs w:val="22"/>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600"/>
      <w:ind w:firstLine="0"/>
      <w:jc w:val="center"/>
    </w:pPr>
  </w:style>
  <w:style w:type="paragraph" w:styleId="Subtitle">
    <w:name w:val="Subtitle"/>
    <w:basedOn w:val="Normal"/>
    <w:next w:val="Normal"/>
    <w:uiPriority w:val="11"/>
    <w:qFormat/>
    <w:pPr>
      <w:keepNext/>
      <w:keepLines/>
      <w:spacing w:after="200"/>
    </w:pPr>
    <w:rPr>
      <w:rFonts w:ascii="Trebuchet MS" w:eastAsia="Trebuchet MS" w:hAnsi="Trebuchet MS" w:cs="Trebuchet MS"/>
      <w:i/>
      <w:color w:val="666666"/>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Chicago" SelectedStyle="/Chicago.xsl" Version="16">
  <b:Source>
    <b:Tag>source1</b:Tag>
    <b:Month>October</b:Month>
    <b:DayAccessed>29</b:DayAccessed>
    <b:Day>4</b:Day>
    <b:Year>2021</b:Year>
    <b:SourceType>DocumentFromInternetSite</b:SourceType>
    <b:URL>https://www.census.gov/newsroom/facts-for-features/2021/aian-month.html</b:URL>
    <b:Title>Facts for Features: American Indian and Alaska Native Heritage Month: November 2021</b:Title>
    <b:InternetSiteTitle>United States Census Bureau</b:InternetSiteTitle>
    <b:MonthAccessed>February</b:MonthAccessed>
    <b:YearAccessed>2022</b:YearAccessed>
    <b:Gdcea>{"AccessedType":"Website"}</b:Gdcea>
    <b:Author>
      <b:Author>
        <b:Corporate>United States Census Bureau</b:Corporate>
      </b:Author>
    </b:Author>
  </b:Source>
</b:Sources>
</file>

<file path=customXml/itemProps1.xml><?xml version="1.0" encoding="utf-8"?>
<ds:datastoreItem xmlns:ds="http://schemas.openxmlformats.org/officeDocument/2006/customXml" ds:itemID="{22222222-1234-1234-1234-123412341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795</TotalTime>
  <Pages>1</Pages>
  <Words>2101</Words>
  <Characters>11981</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Wagas</cp:lastModifiedBy>
  <cp:revision>25</cp:revision>
  <dcterms:created xsi:type="dcterms:W3CDTF">2022-05-10T17:17:00Z</dcterms:created>
  <dcterms:modified xsi:type="dcterms:W3CDTF">2024-06-03T03:47:00Z</dcterms:modified>
</cp:coreProperties>
</file>