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 Wagas</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Funie Hsu</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HUM-190 Section 01</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December 2023</w:t>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Radical, Ravishing, Holy Love: Eroticism, God, and Divine Love in Christian Mysticism</w:t>
      </w:r>
    </w:p>
    <w:p w:rsidR="00000000" w:rsidDel="00000000" w:rsidP="00000000" w:rsidRDefault="00000000" w:rsidRPr="00000000" w14:paraId="0000000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Relationships are as broad of a concept as freedom and media. In these and other cases, there exists no binary, but a vast spectrum of ways in which these can be approached and manifested. Within the realms of spirituality and religion, relationship is not only pursued between persons but between the human and the divine. In the case of mystics, their spiritual sensitivity and unique sensory experiences provided them with a distinct approach to encountering the divine. By employing erotic language alongside identifying sexual elements of their visions, medieval monastic mystics Teresa of Avila and Bernard of Clairvaux. By historically and theologically contextualizing the subject of eroticism in Christianity through analyzing the experiences and writings of monastic medieval mystics Teresa of Avila and Bernard of Clairvaux, historical and theological precedent is proven to exist for embracing the erotic in the Christian tradition, enhancing our understanding of sexuality, the human body, love, and the human-divine relationship by recognizing that there is a genuine place for the inclusion of eroticism in Christian spirituality and spirituality in discussions of sex.</w:t>
      </w:r>
    </w:p>
    <w:p w:rsidR="00000000" w:rsidDel="00000000" w:rsidP="00000000" w:rsidRDefault="00000000" w:rsidRPr="00000000" w14:paraId="00000008">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Love in Christian Spirituality and Theology</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Love, among a host of other understandings and manifestations, is characterized by </w:t>
      </w:r>
      <w:r w:rsidDel="00000000" w:rsidR="00000000" w:rsidRPr="00000000">
        <w:rPr>
          <w:rFonts w:ascii="Times New Roman" w:cs="Times New Roman" w:eastAsia="Times New Roman" w:hAnsi="Times New Roman"/>
          <w:i w:val="1"/>
          <w:sz w:val="24"/>
          <w:szCs w:val="24"/>
          <w:rtl w:val="0"/>
        </w:rPr>
        <w:t xml:space="preserve">desire</w:t>
      </w:r>
      <w:r w:rsidDel="00000000" w:rsidR="00000000" w:rsidRPr="00000000">
        <w:rPr>
          <w:rFonts w:ascii="Times New Roman" w:cs="Times New Roman" w:eastAsia="Times New Roman" w:hAnsi="Times New Roman"/>
          <w:sz w:val="24"/>
          <w:szCs w:val="24"/>
          <w:rtl w:val="0"/>
        </w:rPr>
        <w:t xml:space="preserve">; Davis posits that </w:t>
      </w:r>
      <w:r w:rsidDel="00000000" w:rsidR="00000000" w:rsidRPr="00000000">
        <w:rPr>
          <w:rFonts w:ascii="Times New Roman" w:cs="Times New Roman" w:eastAsia="Times New Roman" w:hAnsi="Times New Roman"/>
          <w:i w:val="1"/>
          <w:sz w:val="24"/>
          <w:szCs w:val="24"/>
          <w:rtl w:val="0"/>
        </w:rPr>
        <w:t xml:space="preserve">desire</w:t>
      </w:r>
      <w:r w:rsidDel="00000000" w:rsidR="00000000" w:rsidRPr="00000000">
        <w:rPr>
          <w:rFonts w:ascii="Times New Roman" w:cs="Times New Roman" w:eastAsia="Times New Roman" w:hAnsi="Times New Roman"/>
          <w:sz w:val="24"/>
          <w:szCs w:val="24"/>
          <w:rtl w:val="0"/>
        </w:rPr>
        <w:t xml:space="preserve"> in the context of general love transcends the binary of want versus need, citing the contemporary Episcopal priest and theologian Sarah Coakley who posits that love is the “physical, emotional, and intellectual longing” that is “directed toward” the object of one’s want (Davis 2023, 145). If love entails a relationship which is primarily expressed between two persons, then it follows that there must be a reciprocity in that desire lest the basic foundation of love—the desire for the Other.</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At the crux of the Christian life is the supposed divine love from which all creation flows and finds its meaning, particularly in the three-fold love of God, neighbor, and self as articulated by Jesus of Nazareth in the New Testament, and which Fernandez and Francis identify as “pillars of Christian spirituality” (Fernandez and Francis 2023, 2). Davis states that not only did God create humans who desire, but that Godself desires, seeking to encounter us as much as we seek to encounter the divine (Davis 2023, 141). Davis invokes the concept of </w:t>
      </w:r>
      <w:r w:rsidDel="00000000" w:rsidR="00000000" w:rsidRPr="00000000">
        <w:rPr>
          <w:rFonts w:ascii="Times New Roman" w:cs="Times New Roman" w:eastAsia="Times New Roman" w:hAnsi="Times New Roman"/>
          <w:i w:val="1"/>
          <w:sz w:val="24"/>
          <w:szCs w:val="24"/>
          <w:rtl w:val="0"/>
        </w:rPr>
        <w:t xml:space="preserve">theosis</w:t>
      </w:r>
      <w:r w:rsidDel="00000000" w:rsidR="00000000" w:rsidRPr="00000000">
        <w:rPr>
          <w:rFonts w:ascii="Times New Roman" w:cs="Times New Roman" w:eastAsia="Times New Roman" w:hAnsi="Times New Roman"/>
          <w:sz w:val="24"/>
          <w:szCs w:val="24"/>
          <w:rtl w:val="0"/>
        </w:rPr>
        <w:t xml:space="preserve">, originating in Greek philosophy and later adopted into Christian thought via Eastern Orthodoxy’s early hellenistic ties; he states that this loving relationship, when pursued genuinely by the human person, means that one is “participating in God’s being,” not by becoming lesser gods ourselves but bathing in the divine light, opening ourselves up to new horizons of existence and knowledge (Davis 2023, 142). Having laid the groundwork for our understanding of spirituality, love, and desire in the broad Christian tradition, we can now turn to a category of love—the </w:t>
      </w:r>
      <w:r w:rsidDel="00000000" w:rsidR="00000000" w:rsidRPr="00000000">
        <w:rPr>
          <w:rFonts w:ascii="Times New Roman" w:cs="Times New Roman" w:eastAsia="Times New Roman" w:hAnsi="Times New Roman"/>
          <w:i w:val="1"/>
          <w:sz w:val="24"/>
          <w:szCs w:val="24"/>
          <w:rtl w:val="0"/>
        </w:rPr>
        <w:t xml:space="preserve">erotic</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B">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Eroticism, the Human Body, and Sex</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Eroticism, as defined by Burrows, primarily concerns sex, encompassing sexuality, sexual intercourse, sexual activity, and the expression of sexuality both in one’s private life and in wider society leading it to take on personal and cultural dimensions (Burrows 1998, 477). Eroticism is a movement between two persons—two distinct entities—toward each other, driven by a “force” whose acute levels of potency compel the individuals involved to “channel” them in various ways within the wider sphere of interpersonal interaction and sexuality (Burrows 1998, 478). Humans are vulnerable to distilling eroticism to the nude body and human genitalia, edging toward the edge of the spectrum where lust and pornography lie, at which point Toy observes that a person is hyper-fixated on self-gratification rather than acknowledgment of the other person’s individuality and dignity (Toy 2007, 324). Similar to Toy, MacKnee expresses concern over the common occurrence of reducing eroticism to “genital sexual activity” rather than understanding that it encompasses wider elements that hearken something “deeper and grander” (MacKnee 1995, 99; Davis 2023, 141). In the same vein as MacKnee and Toy, Isherwoord favors “getting away from genitality” which not only liberates a person from toxic societal influences but also opens new horizons to deeper relationality with other humans and God (Isherwood 2001, 258). Eroticism and sexuality simultaneously reach out beyond and within oneself to immerse one in an “altered state of consciousness” marked by an acute sense of an ongoing experience’s many facets alongside “feelings of ecstasy, peace, and contentment” (MacKnee 1995, 99).</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Mysticism and Mystical Experiences</w:t>
      </w: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Mysticism meets at the intersection of spirituality, psychology, and physiology, engaging the soul, mind, and body respectively, making it something that is truly holistic (MacKnee 1995, 99-100). MacKnee characterizes mystical experiences as “peak experiences” for they are marked by experiences that are “intense and highly valued,” in which the functioning of the human mind and senses occur in an acute state not normally exhibited (MacKnee 1995, 99). A key element of mystical experiences is the simultaneous internal and external unity, in which the former entails a sense of connection with one’s internal life and a loss of self  while the latter entails the loss of a distinction between oneself and external entities (MacKnee 1995, 101-102). In light of these aforementioned elements, MacKnee posits another element of mystical experiences, paradoxicality, for the irrationality of mysticism derives from the confounding coexistence of opposites, and with MacKnee stating that for mystics in this state the “experience of unity [with the Other]…both exists and does not exist” (MacKnee 1995, 106-107). To word it differently, a key aspect of mystical experiences is ambiguity brought about by tension and contradiction.</w:t>
      </w:r>
    </w:p>
    <w:p w:rsidR="00000000" w:rsidDel="00000000" w:rsidP="00000000" w:rsidRDefault="00000000" w:rsidRPr="00000000" w14:paraId="0000000F">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Eroticism in Christian Spirituality and Mysticism</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eroticism is in essence a human construct, the Christian tradition understands sexuality, sensuality, and the human being  to be God-given, and must not be separated from their divine origins or spiritual aspects. As Toy writes, our human bodies are “as God has made us” and our sexualities as “part of what [God] has given us” which are both reflections of the “intensity and creativity” of God’s love, but cautions that we often run the risk of assuming that “real genuine love” can only be embodied through sexual intercourse and related sexual activity (Toy 2007, 327, 330). Spirituality and sexuality, as MacKnee observes, share a common denominator: purpose; he states that both serve as a means of forming connections and breaking out of the confines of our individuality, understanding our relationships and interactions as a means through which we develop our sense of meaning and purpose (MacKnee 1995, 99). While imbued in us by divine power, sexuality is no less human, making it proper to recognize that it is as pleasurable as it is painful, for while it can be “beautiful” and “lovey,” we may also experience “frustration” that such pleasure has its temporal limits (Toy 2007, 330).</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his studies on “spiritual sensuality,” Rebidoux traces historical developments and branches regarding the theological aspect of the human senses. Rebidoux observes that in the early Eastern Orthodoxy’s articulation of theosis included the position that the physical human senses would develop in order to be more attuned to sensing the divine and recognizing spiritual realities and God’s own presence, while the early Latin Church adopted the stance of Augustine of Hippo rather than hellenistic philosophy and taught that the physical human body—including the human senses—was in many ways corrupted and prone to sin (Rebidoux 2011, 216-217). By “breaking [the] boundaries” of human corporeality by embracing such sensibility, Isherwood observes that humans are then able to explore “what may be possible through those bodies” (Isherwood 2001, 252).</w:t>
      </w:r>
    </w:p>
    <w:p w:rsidR="00000000" w:rsidDel="00000000" w:rsidP="00000000" w:rsidRDefault="00000000" w:rsidRPr="00000000" w14:paraId="0000001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Narrowing in on the concept of theosis, Davis states that the derivative concept of “erotic theosis” can serve as a means of helping us conceptualize our “participation in the union with God…[and the] earth,” embracing the intertwining of the finite and the infinite by tying together awe and solemnity with joy and pleasure (Davis 2023, 139-140). Furthermore, erotic theosis frames one’s relationship with God in language commonly used in reference to sexual activity—such as arousal and climax—which conveys a deep sense of intimacy, interaction, trust, and potency (Davis 147-148).</w:t>
      </w:r>
    </w:p>
    <w:p w:rsidR="00000000" w:rsidDel="00000000" w:rsidP="00000000" w:rsidRDefault="00000000" w:rsidRPr="00000000" w14:paraId="00000013">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Bernard of Clairvaux</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Bernard of Clairvaux was a twelfth-century French Christian monastic, priest, mystic, theologian, and scholar who belonged to the Cistercian religious order (Burrows 1998, 488). His works and experiences are marked by the thoughtfulness of his scriptural exegesis, his mystical visions, and his appreciation of monastic life (Witalisz 2013, 63). </w:t>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mystic who embraced eroticism in his understanding of and encounters with the divine, Bernard framed human life as a “journey” in which the human person, as Bernard himself writes, opens oneself to “vulnerability, intimacy, and interdependence,” all of which he employs in establishing his own approach to “spiritual eroticism” (Burrows 1998, 491, 493). Witalisz notes how Bernard’s approach to spirituality embraced the human senses rather than condemn them, believing that they were the primary instruments of growth—both spiritually and mystically—inspired by his alignment with the tradition of visions in the Christian tradition (Witalisz 2013, 63). Bernard discussed eroticism in the knowledge that love is as pleasurable as it is painful, speaking of it in terms of “wounds” and being wounded and stating that both humans and God are wounded in the human-divine relationship, and identifying Love itself as a wound which contains the tension between proximity and distance (Burrows 1998, 486, 491).</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Bernard’s embrace of the erotic begins not with his mystical experiences, but his engagement with sacred scripture. Witalisz observes that Bernard’s understanding of the erotic is grounded, above all else, his “allegorical reading of the Song of Songs, a book within the Hebrew Scriptures which consists of an erotic poem centered around the sexual and romantic relationship between two </w:t>
      </w:r>
      <w:r w:rsidDel="00000000" w:rsidR="00000000" w:rsidRPr="00000000">
        <w:rPr>
          <w:rFonts w:ascii="Times New Roman" w:cs="Times New Roman" w:eastAsia="Times New Roman" w:hAnsi="Times New Roman"/>
          <w:sz w:val="24"/>
          <w:szCs w:val="24"/>
          <w:rtl w:val="0"/>
        </w:rPr>
        <w:t xml:space="preserve">persons”</w:t>
      </w:r>
      <w:r w:rsidDel="00000000" w:rsidR="00000000" w:rsidRPr="00000000">
        <w:rPr>
          <w:rFonts w:ascii="Times New Roman" w:cs="Times New Roman" w:eastAsia="Times New Roman" w:hAnsi="Times New Roman"/>
          <w:sz w:val="24"/>
          <w:szCs w:val="24"/>
          <w:rtl w:val="0"/>
        </w:rPr>
        <w:t xml:space="preserve"> (Witalisz 2013, 58). During his lifetime, Bernard penned eighty-six sermons on the Song of Songs, utilizing the contemplative and communal aspects of his monastic life to subsequently draw parallels between it and the Song of Songs, particularly in how both posses themes of divine desire and encounter alongside the cultivation of one’s interior life—emotionally and intellectually (Burrows 1998, 480, 490). Witalisz notes Bernard’s focus on the senses in the Christian life, affirming the sacredness of the body but noting that the physical senses are distinct from one’s spiritual senses, with the latter being the means which one can come into contact with the divine; as Bernard himself writes, God can only be touched “by the heart, not by the hand,” clarifying the need to develop spiritual sensitivity (Witalisz 2013, 62).</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terms of his mysticism, Bernard’s mystical experiences more so manifested in the vivid imagery and passionate language he employed in his spiritual writings than in particular visions. Burrows quotes Bernard who, in one of his mystical spiritual works, described Jesus as “tender lover”—whose love for us is “violent” in the sense that he is eternally pursuing us just as much as we quest for God, with our limited understanding of Christ and the fullness of the Godhead galvanizing us to engage in this mutual spiritual pursuit (Burrows 1998, 482-484). </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 the subject of </w:t>
      </w:r>
      <w:r w:rsidDel="00000000" w:rsidR="00000000" w:rsidRPr="00000000">
        <w:rPr>
          <w:rFonts w:ascii="Times New Roman" w:cs="Times New Roman" w:eastAsia="Times New Roman" w:hAnsi="Times New Roman"/>
          <w:i w:val="1"/>
          <w:sz w:val="24"/>
          <w:szCs w:val="24"/>
          <w:rtl w:val="0"/>
        </w:rPr>
        <w:t xml:space="preserve">touch</w:t>
      </w:r>
      <w:r w:rsidDel="00000000" w:rsidR="00000000" w:rsidRPr="00000000">
        <w:rPr>
          <w:rFonts w:ascii="Times New Roman" w:cs="Times New Roman" w:eastAsia="Times New Roman" w:hAnsi="Times New Roman"/>
          <w:sz w:val="24"/>
          <w:szCs w:val="24"/>
          <w:rtl w:val="0"/>
        </w:rPr>
        <w:t xml:space="preserve"> within eroticism, Bernard in another one of his writings calls his readers to “cleave” to God in the same way we do so to another person, going on to state that in “wholly” doing so we are “incorporated into each other by mutual love” (Burrows 1998, 484). Burrows contextualizes this usage of the word “cleave” both historically and linguistically, stating that in the medieval era this term was commonly used as an allusion to sexual intercourse, in which sexual partners physically grasp on to one another in an act of passion and desire (Burrows 1998, 484-485). Bernard reorients Christian spirituality toward “touching” God in the same vein as one “touches” a lover—with passion, desire, intensity, and love (Witalisz 2013, 62)</w:t>
      </w:r>
    </w:p>
    <w:p w:rsidR="00000000" w:rsidDel="00000000" w:rsidP="00000000" w:rsidRDefault="00000000" w:rsidRPr="00000000" w14:paraId="00000019">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Teresa of Avila</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Teresa of Avila was a sixteenth-century Spanish Christian monastic, mystic, theologian, and spiritual writer who belonged to the Carmelite Order of religious sisters, or nuns (Fernandez and Francis 2023, 1-2). Her mystical writings and reform within her religious order gained her a reputation among contemporaries and Christian centuries later for being a pivotal figure in the development of Christian spirituality after the Reformation and was later bestowed the titles of Saint and Doctor of the Church in the Roman Church  (Fernandez and Francis 2023, 1-2).</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theologian and spiritual writer, Teresa wrote extensively on the subject of love, with Fernandez and Francis pointing out that Teresa identified three types of such: “sensible love, spiritual-sensible love, and spiritual love,” with the highest of these in her mind being spiritual love (Fernandez and Francis 2023, 7). To her, sensible love is uninteresting as it only deals with the corporeal, sexual relations between spouses for the ends of procreation, while spiritual-sensible love is present in all human relations and has positive elements yet “runs the risk of being overriden by sensuality” and devolving into “inordinate affection” due to its inability of leading a person to achieve “freedom” (Fernandez and Francis 2023, 8). In contrast to these two types, spiritual love in Teresa’s thought is grounded in the gifts God has bestowed to humanity: sacred scripture, the sacraments, and prayer—all of which transcend physicality and finite sensuality through the three primary virtues: love, charity, and humility (Fernandez and Francis 2023, 8). It is these God-given traditions, practices, and virtues that Terese believes provide individuals with the means to attain “perfection” which she defines as the “love of God,” both in embracing and embodying it (Fernandez and Francis 2023, 8).</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Teresa’s mystical experiences have captivated many for centuries after her passing, with her accounts being reprinted and translated into volumes of her works and even sculpted into marble by the Italian artist Gian Lorenzo Bernini. Her most notable account, written in her autobiographical work </w:t>
      </w:r>
      <w:r w:rsidDel="00000000" w:rsidR="00000000" w:rsidRPr="00000000">
        <w:rPr>
          <w:rFonts w:ascii="Times New Roman" w:cs="Times New Roman" w:eastAsia="Times New Roman" w:hAnsi="Times New Roman"/>
          <w:i w:val="1"/>
          <w:sz w:val="24"/>
          <w:szCs w:val="24"/>
          <w:rtl w:val="0"/>
        </w:rPr>
        <w:t xml:space="preserve">The Interior Castle</w:t>
      </w:r>
      <w:r w:rsidDel="00000000" w:rsidR="00000000" w:rsidRPr="00000000">
        <w:rPr>
          <w:rFonts w:ascii="Times New Roman" w:cs="Times New Roman" w:eastAsia="Times New Roman" w:hAnsi="Times New Roman"/>
          <w:sz w:val="24"/>
          <w:szCs w:val="24"/>
          <w:rtl w:val="0"/>
        </w:rPr>
        <w:t xml:space="preserve">, details how she had an experience in which she was met by an angel who was “beautiful” and whose face was “aflame”  wielding a “large golden dart” with a small fire at its tip which the angel then “plunged…several times into [her] heart (Largier 2003, 6). Terese goes on to recount that upon the arrow withdrawing from her flesh, she felt as if it took with it “the deepest part of [her],” and that what it transferred to her was an intense and grand “love of God” that simultaneously left her in excruciating pain which caused her to moan and in a state of inexplicable “sweetness” or joy that she did not want it to fade away (Largier 2003, 6). </w:t>
      </w:r>
    </w:p>
    <w:p w:rsidR="00000000" w:rsidDel="00000000" w:rsidP="00000000" w:rsidRDefault="00000000" w:rsidRPr="00000000" w14:paraId="0000001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her vivid recounting of this experience, we see how Teresa experienced a divine touch; Rebidoux states that her experience neither included or necessitated “visual or auditory perception” for her to experience this touch, for this non-physical visceral experience blurred the line between the corporeal and intangible (Rebidoux 2011, 218). In terms of the erotic, MacKnee identifies Teresa’s moan and immense joy as signs of a “climatic experience” marked by “extreme beauty, joy, and fulfillment,” and that the paradoxical proximity and distance from her body alongside space and time in these moments signal </w:t>
      </w:r>
      <w:r w:rsidDel="00000000" w:rsidR="00000000" w:rsidRPr="00000000">
        <w:rPr>
          <w:rFonts w:ascii="Times New Roman" w:cs="Times New Roman" w:eastAsia="Times New Roman" w:hAnsi="Times New Roman"/>
          <w:i w:val="1"/>
          <w:sz w:val="24"/>
          <w:szCs w:val="24"/>
          <w:rtl w:val="0"/>
        </w:rPr>
        <w:t xml:space="preserve">arousal</w:t>
      </w:r>
      <w:r w:rsidDel="00000000" w:rsidR="00000000" w:rsidRPr="00000000">
        <w:rPr>
          <w:rFonts w:ascii="Times New Roman" w:cs="Times New Roman" w:eastAsia="Times New Roman" w:hAnsi="Times New Roman"/>
          <w:sz w:val="24"/>
          <w:szCs w:val="24"/>
          <w:rtl w:val="0"/>
        </w:rPr>
        <w:t xml:space="preserve"> in which a person “[loses] sensory contact with all surrounding realities” (MacKnee 1995, 104, 110).</w:t>
      </w:r>
    </w:p>
    <w:p w:rsidR="00000000" w:rsidDel="00000000" w:rsidP="00000000" w:rsidRDefault="00000000" w:rsidRPr="00000000" w14:paraId="0000001E">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Concluding Remarks</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Having examined the subjects of love, eroticism, and mysticism in the context of their understandings in the Christian tradition with particular focus on the experiences and works of Teresa of Avila and Bernard of Clairvaux, we can now recognize thee indeed exists historical and theological precedent for the embrace of eroticism in Christian spirituality and theology. Through the erotic language and imagery largely employed in their accounts of visions, writings on spiritual guidance, and scriptural exegesis, we see in the witness of Teresa and Bernard their understanding of God’s love, the human body, and the human-divine relationship which embraces the many overlaps between divine encounter and the intensity of sexual relations. </w:t>
      </w:r>
    </w:p>
    <w:p w:rsidR="00000000" w:rsidDel="00000000" w:rsidP="00000000" w:rsidRDefault="00000000" w:rsidRPr="00000000" w14:paraId="0000002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Teresa of Avila and Bernard of Clairvaux were not mythical figures but historical persons, grounded in the cultures, movements, communities, and norms they were birthed into. Their writings and experiences reveal to us the true historicity of blending the erotic with the spiritual. Both of these monastic mystics are rooted in history, with their works enduring as spiritual classics and invaluable to studies on religion, spirituality, contemplative practices, monasticism, and medieval Christianity. Moreover, they were grounded in their experiences as monastics belonging to notable orders—Teresa to the Carmelites and Bernard to the Cistercians. It was not the aim of this research to prove the historicity of these people themselves, but to recognize that their lives and works signal to us contemporary persons that employing erotic imagery and language in the Christian tradition is not a modern or postmodern innovation but something which was pioneered in the medieval period in Europe with roots extending further back in history to the writing of the Song of Songs as part of the Hebrew scriptural tradition.</w:t>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insights Teresa and Bernard provide us apply both to sexuality and spirituality; through them, we see how sexuality—and broader eroticism—must not be distilled to mere physical acts and the human body but must have its numerous spiritual elements appreciated and embraced in order to fruitfully engage in relationship with others, and that spirituality should rightfully yet thoughtfully employ erotic imagery and language in light of the numerous commonalities with sensations such as climax and arousal present in sex. Furthermore, Teresa and Bernard’s acute spiritual sensibilities reveal to us the benefits it brings, particularly in helping us to recognize the inherent dignity within other persons as well as seeing them holistically in light of universal realities. This is not to say that either Teresa or Bernard condemned the flesh, but that they recognized the necessity in utilizing our human capabilities to move toward that which was non-human and transcendent, simultaneously trekking new frontiers both in eroticism and spirituality.</w:t>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Word Count: 2,949</w:t>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Burrows, M. S. “Foundations for an Erotic Christology : Bernard of Clairvaux on Jesus as Tender </w:t>
      </w:r>
    </w:p>
    <w:p w:rsidR="00000000" w:rsidDel="00000000" w:rsidP="00000000" w:rsidRDefault="00000000" w:rsidRPr="00000000" w14:paraId="0000002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Lover.” </w:t>
      </w:r>
      <w:r w:rsidDel="00000000" w:rsidR="00000000" w:rsidRPr="00000000">
        <w:rPr>
          <w:rFonts w:ascii="Times New Roman" w:cs="Times New Roman" w:eastAsia="Times New Roman" w:hAnsi="Times New Roman"/>
          <w:i w:val="1"/>
          <w:sz w:val="24"/>
          <w:szCs w:val="24"/>
          <w:rtl w:val="0"/>
        </w:rPr>
        <w:t xml:space="preserve">Anglican Theological Review</w:t>
      </w:r>
      <w:r w:rsidDel="00000000" w:rsidR="00000000" w:rsidRPr="00000000">
        <w:rPr>
          <w:rFonts w:ascii="Times New Roman" w:cs="Times New Roman" w:eastAsia="Times New Roman" w:hAnsi="Times New Roman"/>
          <w:sz w:val="24"/>
          <w:szCs w:val="24"/>
          <w:rtl w:val="0"/>
        </w:rPr>
        <w:t xml:space="preserve">, vol. 80, no. 4, 1998, pp. 477–93.</w:t>
      </w:r>
    </w:p>
    <w:p w:rsidR="00000000" w:rsidDel="00000000" w:rsidP="00000000" w:rsidRDefault="00000000" w:rsidRPr="00000000" w14:paraId="0000002E">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Davis, Aaron Brian. “‘Draw Me after You’: Toward an Erotic Theosis.” </w:t>
      </w:r>
      <w:r w:rsidDel="00000000" w:rsidR="00000000" w:rsidRPr="00000000">
        <w:rPr>
          <w:rFonts w:ascii="Times New Roman" w:cs="Times New Roman" w:eastAsia="Times New Roman" w:hAnsi="Times New Roman"/>
          <w:i w:val="1"/>
          <w:sz w:val="24"/>
          <w:szCs w:val="24"/>
          <w:rtl w:val="0"/>
        </w:rPr>
        <w:t xml:space="preserve">Scottish Journal of </w:t>
      </w:r>
    </w:p>
    <w:p w:rsidR="00000000" w:rsidDel="00000000" w:rsidP="00000000" w:rsidRDefault="00000000" w:rsidRPr="00000000" w14:paraId="0000002F">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Theology</w:t>
      </w:r>
      <w:r w:rsidDel="00000000" w:rsidR="00000000" w:rsidRPr="00000000">
        <w:rPr>
          <w:rFonts w:ascii="Times New Roman" w:cs="Times New Roman" w:eastAsia="Times New Roman" w:hAnsi="Times New Roman"/>
          <w:sz w:val="24"/>
          <w:szCs w:val="24"/>
          <w:rtl w:val="0"/>
        </w:rPr>
        <w:t xml:space="preserve">, vol. 76, no. 2, 2023, pp. 139–52, https://doi.org/10.1017/S0036930622000990.</w:t>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Fernandez, Francis, and Joy Francis. “Interpersonal Friendship: A Prerequisite to Mystical </w:t>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Contemplation, According to St. Teresa of Avila.” </w:t>
      </w:r>
      <w:r w:rsidDel="00000000" w:rsidR="00000000" w:rsidRPr="00000000">
        <w:rPr>
          <w:rFonts w:ascii="Times New Roman" w:cs="Times New Roman" w:eastAsia="Times New Roman" w:hAnsi="Times New Roman"/>
          <w:i w:val="1"/>
          <w:sz w:val="24"/>
          <w:szCs w:val="24"/>
          <w:rtl w:val="0"/>
        </w:rPr>
        <w:t xml:space="preserve">Journal for the Study of Religion</w:t>
      </w:r>
      <w:r w:rsidDel="00000000" w:rsidR="00000000" w:rsidRPr="00000000">
        <w:rPr>
          <w:rFonts w:ascii="Times New Roman" w:cs="Times New Roman" w:eastAsia="Times New Roman" w:hAnsi="Times New Roman"/>
          <w:sz w:val="24"/>
          <w:szCs w:val="24"/>
          <w:rtl w:val="0"/>
        </w:rPr>
        <w:t xml:space="preserve">, vol. </w:t>
      </w:r>
    </w:p>
    <w:p w:rsidR="00000000" w:rsidDel="00000000" w:rsidP="00000000" w:rsidRDefault="00000000" w:rsidRPr="00000000" w14:paraId="0000003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no. 1, 2022, pp. 1–19, https://doi.org/10.17159/2413-3027/2021/v35n1a4.</w:t>
      </w:r>
    </w:p>
    <w:p w:rsidR="00000000" w:rsidDel="00000000" w:rsidP="00000000" w:rsidRDefault="00000000" w:rsidRPr="00000000" w14:paraId="00000033">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Isherwood, Lisa. “Queering Christ: Outrageous Acts and Theological Rebellions.” </w:t>
      </w:r>
      <w:r w:rsidDel="00000000" w:rsidR="00000000" w:rsidRPr="00000000">
        <w:rPr>
          <w:rFonts w:ascii="Times New Roman" w:cs="Times New Roman" w:eastAsia="Times New Roman" w:hAnsi="Times New Roman"/>
          <w:i w:val="1"/>
          <w:sz w:val="24"/>
          <w:szCs w:val="24"/>
          <w:rtl w:val="0"/>
        </w:rPr>
        <w:t xml:space="preserve">Literature &amp; </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Theology</w:t>
      </w:r>
      <w:r w:rsidDel="00000000" w:rsidR="00000000" w:rsidRPr="00000000">
        <w:rPr>
          <w:rFonts w:ascii="Times New Roman" w:cs="Times New Roman" w:eastAsia="Times New Roman" w:hAnsi="Times New Roman"/>
          <w:sz w:val="24"/>
          <w:szCs w:val="24"/>
          <w:rtl w:val="0"/>
        </w:rPr>
        <w:t xml:space="preserve">, vol. 15, no. 3, 2001, pp. 249–61, https://doi.org/10.1093/litthe/15.3.249.</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Largier, Niklaus. “The Logic of Arousal: Saint Francis of Assisi, Teresa of Avila, and Thérèse </w:t>
      </w:r>
    </w:p>
    <w:p w:rsidR="00000000" w:rsidDel="00000000" w:rsidP="00000000" w:rsidRDefault="00000000" w:rsidRPr="00000000" w14:paraId="00000036">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Philosophe.” </w:t>
      </w:r>
      <w:r w:rsidDel="00000000" w:rsidR="00000000" w:rsidRPr="00000000">
        <w:rPr>
          <w:rFonts w:ascii="Times New Roman" w:cs="Times New Roman" w:eastAsia="Times New Roman" w:hAnsi="Times New Roman"/>
          <w:i w:val="1"/>
          <w:sz w:val="24"/>
          <w:szCs w:val="24"/>
          <w:rtl w:val="0"/>
        </w:rPr>
        <w:t xml:space="preserve">Qui Parle</w:t>
      </w:r>
      <w:r w:rsidDel="00000000" w:rsidR="00000000" w:rsidRPr="00000000">
        <w:rPr>
          <w:rFonts w:ascii="Times New Roman" w:cs="Times New Roman" w:eastAsia="Times New Roman" w:hAnsi="Times New Roman"/>
          <w:sz w:val="24"/>
          <w:szCs w:val="24"/>
          <w:rtl w:val="0"/>
        </w:rPr>
        <w:t xml:space="preserve">, vol. 13, no. 2, 2003, https://doi.org/10.1215/quiparle.13.2.1.</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MacKnee, Chuck. “Peak Sexual and Spiritual Experience: Exploring the Mystical Relationship.” </w:t>
      </w:r>
    </w:p>
    <w:p w:rsidR="00000000" w:rsidDel="00000000" w:rsidP="00000000" w:rsidRDefault="00000000" w:rsidRPr="00000000" w14:paraId="00000038">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Theology &amp; Sexuality</w:t>
      </w:r>
      <w:r w:rsidDel="00000000" w:rsidR="00000000" w:rsidRPr="00000000">
        <w:rPr>
          <w:rFonts w:ascii="Times New Roman" w:cs="Times New Roman" w:eastAsia="Times New Roman" w:hAnsi="Times New Roman"/>
          <w:sz w:val="24"/>
          <w:szCs w:val="24"/>
          <w:rtl w:val="0"/>
        </w:rPr>
        <w:t xml:space="preserve">, vol. 1996, no. 5, 1996, pp. 97–115, https://doi.org/10.1177/135583589600300507.</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Rebidoux, Michelle. “Deeper Than the Entrails Is That Great Love! A Phenomenological </w:t>
      </w:r>
    </w:p>
    <w:p w:rsidR="00000000" w:rsidDel="00000000" w:rsidP="00000000" w:rsidRDefault="00000000" w:rsidRPr="00000000" w14:paraId="0000003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Approach to ‘Spiritual Sensuality’ in Teresa of Ávila.” </w:t>
      </w:r>
      <w:r w:rsidDel="00000000" w:rsidR="00000000" w:rsidRPr="00000000">
        <w:rPr>
          <w:rFonts w:ascii="Times New Roman" w:cs="Times New Roman" w:eastAsia="Times New Roman" w:hAnsi="Times New Roman"/>
          <w:i w:val="1"/>
          <w:sz w:val="24"/>
          <w:szCs w:val="24"/>
          <w:rtl w:val="0"/>
        </w:rPr>
        <w:t xml:space="preserve">Heythrop Journal</w:t>
      </w:r>
      <w:r w:rsidDel="00000000" w:rsidR="00000000" w:rsidRPr="00000000">
        <w:rPr>
          <w:rFonts w:ascii="Times New Roman" w:cs="Times New Roman" w:eastAsia="Times New Roman" w:hAnsi="Times New Roman"/>
          <w:sz w:val="24"/>
          <w:szCs w:val="24"/>
          <w:rtl w:val="0"/>
        </w:rPr>
        <w:t xml:space="preserve">, vol. 55, no. 2, </w:t>
      </w:r>
    </w:p>
    <w:p w:rsidR="00000000" w:rsidDel="00000000" w:rsidP="00000000" w:rsidRDefault="00000000" w:rsidRPr="00000000" w14:paraId="0000003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2014, pp. 216–29, https://doi.org/10.1111/j.1468-2265.2011.00703.x.</w:t>
      </w:r>
    </w:p>
    <w:p w:rsidR="00000000" w:rsidDel="00000000" w:rsidP="00000000" w:rsidRDefault="00000000" w:rsidRPr="00000000" w14:paraId="0000003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Toy, John. “God and Eroticism.” </w:t>
      </w:r>
      <w:r w:rsidDel="00000000" w:rsidR="00000000" w:rsidRPr="00000000">
        <w:rPr>
          <w:rFonts w:ascii="Times New Roman" w:cs="Times New Roman" w:eastAsia="Times New Roman" w:hAnsi="Times New Roman"/>
          <w:i w:val="1"/>
          <w:sz w:val="24"/>
          <w:szCs w:val="24"/>
          <w:rtl w:val="0"/>
        </w:rPr>
        <w:t xml:space="preserve">Theology (Norwich)</w:t>
      </w:r>
      <w:r w:rsidDel="00000000" w:rsidR="00000000" w:rsidRPr="00000000">
        <w:rPr>
          <w:rFonts w:ascii="Times New Roman" w:cs="Times New Roman" w:eastAsia="Times New Roman" w:hAnsi="Times New Roman"/>
          <w:sz w:val="24"/>
          <w:szCs w:val="24"/>
          <w:rtl w:val="0"/>
        </w:rPr>
        <w:t xml:space="preserve">, vol. 110, no. 857, 2007, pp. 323–31, </w:t>
      </w:r>
    </w:p>
    <w:p w:rsidR="00000000" w:rsidDel="00000000" w:rsidP="00000000" w:rsidRDefault="00000000" w:rsidRPr="00000000" w14:paraId="0000003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https://doi.org/10.1177/0040571X0711000502.</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Witalisz, Władysław. “‘I </w:t>
      </w:r>
      <w:r w:rsidDel="00000000" w:rsidR="00000000" w:rsidRPr="00000000">
        <w:rPr>
          <w:rFonts w:ascii="Times New Roman" w:cs="Times New Roman" w:eastAsia="Times New Roman" w:hAnsi="Times New Roman"/>
          <w:sz w:val="24"/>
          <w:szCs w:val="24"/>
          <w:rtl w:val="0"/>
        </w:rPr>
        <w:t xml:space="preserve">Cluppe</w:t>
      </w:r>
      <w:r w:rsidDel="00000000" w:rsidR="00000000" w:rsidRPr="00000000">
        <w:rPr>
          <w:rFonts w:ascii="Times New Roman" w:cs="Times New Roman" w:eastAsia="Times New Roman" w:hAnsi="Times New Roman"/>
          <w:sz w:val="24"/>
          <w:szCs w:val="24"/>
          <w:rtl w:val="0"/>
        </w:rPr>
        <w:t xml:space="preserve"> and I Cusse as I Wood Wore’: Erotic Imagery in Middle English </w:t>
      </w:r>
    </w:p>
    <w:p w:rsidR="00000000" w:rsidDel="00000000" w:rsidP="00000000" w:rsidRDefault="00000000" w:rsidRPr="00000000" w14:paraId="0000003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Mystical Writings.” </w:t>
      </w:r>
      <w:r w:rsidDel="00000000" w:rsidR="00000000" w:rsidRPr="00000000">
        <w:rPr>
          <w:rFonts w:ascii="Times New Roman" w:cs="Times New Roman" w:eastAsia="Times New Roman" w:hAnsi="Times New Roman"/>
          <w:i w:val="1"/>
          <w:sz w:val="24"/>
          <w:szCs w:val="24"/>
          <w:rtl w:val="0"/>
        </w:rPr>
        <w:t xml:space="preserve">Text Matters (Łódź)</w:t>
      </w:r>
      <w:r w:rsidDel="00000000" w:rsidR="00000000" w:rsidRPr="00000000">
        <w:rPr>
          <w:rFonts w:ascii="Times New Roman" w:cs="Times New Roman" w:eastAsia="Times New Roman" w:hAnsi="Times New Roman"/>
          <w:sz w:val="24"/>
          <w:szCs w:val="24"/>
          <w:rtl w:val="0"/>
        </w:rPr>
        <w:t xml:space="preserve">, vol. 3, no. 3, 2013, pp. 58–70, </w:t>
      </w:r>
    </w:p>
    <w:p w:rsidR="00000000" w:rsidDel="00000000" w:rsidP="00000000" w:rsidRDefault="00000000" w:rsidRPr="00000000" w14:paraId="00000040">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https://doi.org/10.2478/texmat-2013-0026.</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Wagas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